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83" w:rsidRPr="00C07F83" w:rsidRDefault="00C07F83" w:rsidP="00C07F83">
      <w:pPr>
        <w:spacing w:after="0" w:line="240" w:lineRule="auto"/>
        <w:rPr>
          <w:rFonts w:ascii="Baskerville Old Face" w:hAnsi="Baskerville Old Face"/>
          <w:b/>
          <w:sz w:val="36"/>
          <w:szCs w:val="36"/>
        </w:rPr>
      </w:pPr>
      <w:r>
        <w:rPr>
          <w:b/>
          <w:noProof/>
          <w:sz w:val="28"/>
          <w:szCs w:val="28"/>
        </w:rPr>
        <w:drawing>
          <wp:inline distT="0" distB="0" distL="0" distR="0">
            <wp:extent cx="904875" cy="904875"/>
            <wp:effectExtent l="19050" t="0" r="9525" b="0"/>
            <wp:docPr id="1" name="Picture 0"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5" cstate="print"/>
                    <a:stretch>
                      <a:fillRect/>
                    </a:stretch>
                  </pic:blipFill>
                  <pic:spPr>
                    <a:xfrm>
                      <a:off x="0" y="0"/>
                      <a:ext cx="904875" cy="904875"/>
                    </a:xfrm>
                    <a:prstGeom prst="rect">
                      <a:avLst/>
                    </a:prstGeom>
                  </pic:spPr>
                </pic:pic>
              </a:graphicData>
            </a:graphic>
          </wp:inline>
        </w:drawing>
      </w:r>
      <w:r>
        <w:rPr>
          <w:b/>
          <w:sz w:val="28"/>
          <w:szCs w:val="28"/>
        </w:rPr>
        <w:t xml:space="preserve">   </w:t>
      </w:r>
      <w:r w:rsidRPr="00C07F83">
        <w:rPr>
          <w:rFonts w:ascii="Baskerville Old Face" w:hAnsi="Baskerville Old Face"/>
          <w:b/>
          <w:sz w:val="36"/>
          <w:szCs w:val="36"/>
        </w:rPr>
        <w:t xml:space="preserve">Nevada Model County </w:t>
      </w:r>
      <w:r w:rsidR="00E72811">
        <w:rPr>
          <w:rFonts w:ascii="Baskerville Old Face" w:hAnsi="Baskerville Old Face"/>
          <w:b/>
          <w:sz w:val="36"/>
          <w:szCs w:val="36"/>
        </w:rPr>
        <w:t>Land Commerce I</w:t>
      </w:r>
      <w:r w:rsidRPr="00C07F83">
        <w:rPr>
          <w:rFonts w:ascii="Baskerville Old Face" w:hAnsi="Baskerville Old Face"/>
          <w:b/>
          <w:sz w:val="36"/>
          <w:szCs w:val="36"/>
        </w:rPr>
        <w:t>nitiative</w:t>
      </w:r>
    </w:p>
    <w:p w:rsidR="00C07F83" w:rsidRPr="00C07F83" w:rsidRDefault="00C07F83" w:rsidP="00C07F83">
      <w:pPr>
        <w:spacing w:after="0" w:line="240" w:lineRule="auto"/>
        <w:rPr>
          <w:rFonts w:ascii="Baskerville Old Face" w:hAnsi="Baskerville Old Face"/>
          <w:b/>
          <w:sz w:val="36"/>
          <w:szCs w:val="36"/>
        </w:rPr>
      </w:pPr>
    </w:p>
    <w:p w:rsidR="00E72811" w:rsidRPr="00E72811" w:rsidRDefault="00E72811" w:rsidP="00C07F83">
      <w:pPr>
        <w:spacing w:after="0" w:line="240" w:lineRule="auto"/>
        <w:rPr>
          <w:sz w:val="28"/>
          <w:szCs w:val="28"/>
        </w:rPr>
      </w:pPr>
      <w:r w:rsidRPr="00E72811">
        <w:rPr>
          <w:sz w:val="28"/>
          <w:szCs w:val="28"/>
        </w:rPr>
        <w:t xml:space="preserve">Volunteers are being sought to </w:t>
      </w:r>
      <w:r>
        <w:rPr>
          <w:sz w:val="28"/>
          <w:szCs w:val="28"/>
        </w:rPr>
        <w:t xml:space="preserve">develop </w:t>
      </w:r>
      <w:r w:rsidRPr="00E72811">
        <w:rPr>
          <w:sz w:val="28"/>
          <w:szCs w:val="28"/>
        </w:rPr>
        <w:t>and deploy the Land Commerce Initiative</w:t>
      </w:r>
      <w:r>
        <w:rPr>
          <w:sz w:val="28"/>
          <w:szCs w:val="28"/>
        </w:rPr>
        <w:t>. The program invites commercially minded individuals to come along side current business systems and</w:t>
      </w:r>
      <w:r w:rsidRPr="00E72811">
        <w:rPr>
          <w:sz w:val="28"/>
          <w:szCs w:val="28"/>
        </w:rPr>
        <w:t xml:space="preserve"> </w:t>
      </w:r>
      <w:r>
        <w:rPr>
          <w:sz w:val="28"/>
          <w:szCs w:val="28"/>
        </w:rPr>
        <w:t>evolve to partial and full land commerce ecosystem partners.</w:t>
      </w:r>
    </w:p>
    <w:p w:rsidR="00E72811" w:rsidRDefault="00E72811" w:rsidP="00C07F83">
      <w:pPr>
        <w:spacing w:after="0" w:line="240" w:lineRule="auto"/>
        <w:rPr>
          <w:b/>
          <w:sz w:val="28"/>
          <w:szCs w:val="28"/>
        </w:rPr>
      </w:pPr>
    </w:p>
    <w:p w:rsidR="00E72811" w:rsidRDefault="00E72811" w:rsidP="00C07F83">
      <w:pPr>
        <w:spacing w:after="0" w:line="240" w:lineRule="auto"/>
        <w:rPr>
          <w:b/>
          <w:sz w:val="28"/>
          <w:szCs w:val="28"/>
        </w:rPr>
      </w:pPr>
    </w:p>
    <w:p w:rsidR="00C07F83" w:rsidRDefault="00E72811" w:rsidP="00C07F83">
      <w:pPr>
        <w:spacing w:after="0" w:line="240" w:lineRule="auto"/>
        <w:rPr>
          <w:sz w:val="28"/>
          <w:szCs w:val="28"/>
        </w:rPr>
      </w:pPr>
      <w:r>
        <w:rPr>
          <w:b/>
          <w:sz w:val="28"/>
          <w:szCs w:val="28"/>
        </w:rPr>
        <w:t xml:space="preserve">            </w:t>
      </w:r>
      <w:r w:rsidR="00B011C2">
        <w:rPr>
          <w:b/>
          <w:sz w:val="28"/>
          <w:szCs w:val="28"/>
        </w:rPr>
        <w:t xml:space="preserve">     </w:t>
      </w:r>
      <w:r w:rsidR="00C07F83" w:rsidRPr="003B493E">
        <w:rPr>
          <w:b/>
          <w:sz w:val="28"/>
          <w:szCs w:val="28"/>
        </w:rPr>
        <w:t>Global Family Group</w:t>
      </w:r>
      <w:r w:rsidR="00B011C2">
        <w:rPr>
          <w:b/>
          <w:sz w:val="28"/>
          <w:szCs w:val="28"/>
        </w:rPr>
        <w:t xml:space="preserve"> based</w:t>
      </w:r>
      <w:r w:rsidR="00C07F83" w:rsidRPr="003B493E">
        <w:rPr>
          <w:b/>
          <w:sz w:val="28"/>
          <w:szCs w:val="28"/>
        </w:rPr>
        <w:t xml:space="preserve"> </w:t>
      </w:r>
      <w:r>
        <w:rPr>
          <w:b/>
          <w:sz w:val="28"/>
          <w:szCs w:val="28"/>
        </w:rPr>
        <w:t>Land Commerce Plan</w:t>
      </w:r>
    </w:p>
    <w:p w:rsidR="00C07F83" w:rsidRDefault="00C07F83" w:rsidP="00C07F83">
      <w:pPr>
        <w:spacing w:after="0" w:line="240" w:lineRule="auto"/>
        <w:rPr>
          <w:sz w:val="28"/>
          <w:szCs w:val="28"/>
        </w:rPr>
      </w:pPr>
      <w:r>
        <w:rPr>
          <w:sz w:val="28"/>
          <w:szCs w:val="28"/>
        </w:rPr>
        <w:t>This is two projects plus a marketing message Loan to Grant:</w:t>
      </w:r>
    </w:p>
    <w:p w:rsidR="00C07F83" w:rsidRPr="00212528" w:rsidRDefault="00C07F83" w:rsidP="00C07F83">
      <w:pPr>
        <w:pStyle w:val="ListParagraph"/>
        <w:numPr>
          <w:ilvl w:val="0"/>
          <w:numId w:val="1"/>
        </w:numPr>
        <w:spacing w:after="0" w:line="240" w:lineRule="auto"/>
        <w:rPr>
          <w:sz w:val="28"/>
          <w:szCs w:val="28"/>
        </w:rPr>
      </w:pPr>
      <w:r>
        <w:rPr>
          <w:sz w:val="28"/>
          <w:szCs w:val="28"/>
        </w:rPr>
        <w:t xml:space="preserve">Establish </w:t>
      </w:r>
      <w:r w:rsidRPr="00212528">
        <w:rPr>
          <w:sz w:val="28"/>
          <w:szCs w:val="28"/>
        </w:rPr>
        <w:t xml:space="preserve">a </w:t>
      </w:r>
      <w:r w:rsidRPr="00845870">
        <w:rPr>
          <w:sz w:val="28"/>
          <w:szCs w:val="28"/>
          <w:u w:val="single"/>
        </w:rPr>
        <w:t>new Business</w:t>
      </w:r>
      <w:r w:rsidRPr="00212528">
        <w:rPr>
          <w:sz w:val="28"/>
          <w:szCs w:val="28"/>
          <w:u w:val="single"/>
        </w:rPr>
        <w:t xml:space="preserve"> System</w:t>
      </w:r>
      <w:r w:rsidRPr="00212528">
        <w:rPr>
          <w:sz w:val="28"/>
          <w:szCs w:val="28"/>
        </w:rPr>
        <w:t xml:space="preserve"> which is based on AFD</w:t>
      </w:r>
      <w:r>
        <w:rPr>
          <w:sz w:val="28"/>
          <w:szCs w:val="28"/>
        </w:rPr>
        <w:t xml:space="preserve"> and has a GFG presence. </w:t>
      </w:r>
    </w:p>
    <w:p w:rsidR="00C07F83" w:rsidRPr="00212528" w:rsidRDefault="00C07F83" w:rsidP="00C07F83">
      <w:pPr>
        <w:pStyle w:val="ListParagraph"/>
        <w:numPr>
          <w:ilvl w:val="0"/>
          <w:numId w:val="1"/>
        </w:numPr>
        <w:spacing w:after="0" w:line="240" w:lineRule="auto"/>
        <w:rPr>
          <w:sz w:val="28"/>
          <w:szCs w:val="28"/>
        </w:rPr>
      </w:pPr>
      <w:r w:rsidRPr="00052A13">
        <w:rPr>
          <w:sz w:val="28"/>
          <w:szCs w:val="28"/>
          <w:u w:val="single"/>
        </w:rPr>
        <w:t>Existing Business System</w:t>
      </w:r>
      <w:r>
        <w:rPr>
          <w:sz w:val="28"/>
          <w:szCs w:val="28"/>
        </w:rPr>
        <w:t xml:space="preserve"> adds/ incorporates AFD and GFG and continues normal operations. </w:t>
      </w:r>
    </w:p>
    <w:p w:rsidR="00C07F83" w:rsidRPr="00E72811" w:rsidRDefault="00E72811" w:rsidP="00E72811">
      <w:pPr>
        <w:spacing w:after="0" w:line="240" w:lineRule="auto"/>
        <w:ind w:left="360"/>
        <w:rPr>
          <w:i/>
          <w:sz w:val="28"/>
          <w:szCs w:val="28"/>
        </w:rPr>
      </w:pPr>
      <w:r w:rsidRPr="00E72811">
        <w:rPr>
          <w:i/>
          <w:sz w:val="28"/>
          <w:szCs w:val="28"/>
        </w:rPr>
        <w:t xml:space="preserve"> </w:t>
      </w:r>
      <w:r w:rsidR="00C07F83" w:rsidRPr="00E72811">
        <w:rPr>
          <w:i/>
          <w:sz w:val="28"/>
          <w:szCs w:val="28"/>
        </w:rPr>
        <w:t xml:space="preserve"> Outreach is formulating a </w:t>
      </w:r>
      <w:r>
        <w:rPr>
          <w:i/>
          <w:sz w:val="28"/>
          <w:szCs w:val="28"/>
        </w:rPr>
        <w:t>Land Commerce</w:t>
      </w:r>
      <w:r w:rsidR="00C07F83" w:rsidRPr="00E72811">
        <w:rPr>
          <w:i/>
          <w:sz w:val="28"/>
          <w:szCs w:val="28"/>
        </w:rPr>
        <w:t xml:space="preserve"> Conversion Program that names the business on GFG thru an ASN, Establishes an AFD channel for the business, demonstrates how to deal with the bank, how to handle employees, and employee benefits, tax advisement, insurance</w:t>
      </w:r>
      <w:r>
        <w:rPr>
          <w:i/>
          <w:sz w:val="28"/>
          <w:szCs w:val="28"/>
        </w:rPr>
        <w:t>,</w:t>
      </w:r>
      <w:r w:rsidR="00C07F83" w:rsidRPr="00E72811">
        <w:rPr>
          <w:i/>
          <w:sz w:val="28"/>
          <w:szCs w:val="28"/>
        </w:rPr>
        <w:t xml:space="preserve"> and bonding, licensing, regulatory agencies .</w:t>
      </w:r>
      <w:r>
        <w:rPr>
          <w:i/>
          <w:sz w:val="28"/>
          <w:szCs w:val="28"/>
        </w:rPr>
        <w:t xml:space="preserve"> This Commerce Way </w:t>
      </w:r>
      <w:proofErr w:type="gramStart"/>
      <w:r>
        <w:rPr>
          <w:i/>
          <w:sz w:val="28"/>
          <w:szCs w:val="28"/>
        </w:rPr>
        <w:t>Forward</w:t>
      </w:r>
      <w:proofErr w:type="gramEnd"/>
      <w:r>
        <w:rPr>
          <w:i/>
          <w:sz w:val="28"/>
          <w:szCs w:val="28"/>
        </w:rPr>
        <w:t xml:space="preserve"> will succinctly address the concerns and questions of business owners to evolve land commerce and capitulate   </w:t>
      </w:r>
    </w:p>
    <w:p w:rsidR="00C07F83" w:rsidRDefault="00C07F83" w:rsidP="00C07F83">
      <w:pPr>
        <w:spacing w:after="0" w:line="240" w:lineRule="auto"/>
        <w:rPr>
          <w:sz w:val="28"/>
          <w:szCs w:val="28"/>
        </w:rPr>
      </w:pPr>
      <w:r>
        <w:rPr>
          <w:i/>
          <w:sz w:val="28"/>
          <w:szCs w:val="28"/>
        </w:rPr>
        <w:t xml:space="preserve">This </w:t>
      </w:r>
      <w:r w:rsidR="00E72811">
        <w:rPr>
          <w:i/>
          <w:sz w:val="28"/>
          <w:szCs w:val="28"/>
        </w:rPr>
        <w:t>builds the ecosystem for</w:t>
      </w:r>
      <w:r>
        <w:rPr>
          <w:i/>
          <w:sz w:val="28"/>
          <w:szCs w:val="28"/>
        </w:rPr>
        <w:t xml:space="preserve"> Prosperity Union funds and Prosperity Accounts.</w:t>
      </w:r>
      <w:r w:rsidRPr="00DD07F3">
        <w:rPr>
          <w:i/>
          <w:sz w:val="28"/>
          <w:szCs w:val="28"/>
        </w:rPr>
        <w:t xml:space="preserve"> </w:t>
      </w:r>
      <w:r w:rsidRPr="00DD07F3">
        <w:rPr>
          <w:sz w:val="28"/>
          <w:szCs w:val="28"/>
        </w:rPr>
        <w:t xml:space="preserve"> </w:t>
      </w:r>
      <w:r>
        <w:rPr>
          <w:sz w:val="28"/>
          <w:szCs w:val="28"/>
        </w:rPr>
        <w:t xml:space="preserve">This is a natural “come along side” progression of raising </w:t>
      </w:r>
      <w:proofErr w:type="gramStart"/>
      <w:r>
        <w:rPr>
          <w:sz w:val="28"/>
          <w:szCs w:val="28"/>
        </w:rPr>
        <w:t>awareness .</w:t>
      </w:r>
      <w:proofErr w:type="gramEnd"/>
      <w:r>
        <w:rPr>
          <w:sz w:val="28"/>
          <w:szCs w:val="28"/>
        </w:rPr>
        <w:t xml:space="preserve"> </w:t>
      </w:r>
    </w:p>
    <w:p w:rsidR="00C07F83" w:rsidRDefault="00C07F83" w:rsidP="00C07F83">
      <w:pPr>
        <w:spacing w:after="0" w:line="240" w:lineRule="auto"/>
        <w:rPr>
          <w:sz w:val="28"/>
          <w:szCs w:val="28"/>
        </w:rPr>
      </w:pPr>
      <w:r>
        <w:rPr>
          <w:sz w:val="28"/>
          <w:szCs w:val="28"/>
        </w:rPr>
        <w:t>Precious metals are fluctuating so market pricing based on value will be a value added system.</w:t>
      </w:r>
    </w:p>
    <w:p w:rsidR="00E72811" w:rsidRDefault="00E72811" w:rsidP="00C07F83">
      <w:pPr>
        <w:spacing w:after="0" w:line="240" w:lineRule="auto"/>
        <w:rPr>
          <w:sz w:val="28"/>
          <w:szCs w:val="28"/>
        </w:rPr>
      </w:pPr>
    </w:p>
    <w:p w:rsidR="00E72811" w:rsidRDefault="00E72811" w:rsidP="00C07F83">
      <w:pPr>
        <w:spacing w:after="0" w:line="240" w:lineRule="auto"/>
        <w:rPr>
          <w:sz w:val="28"/>
          <w:szCs w:val="28"/>
        </w:rPr>
      </w:pPr>
      <w:r>
        <w:rPr>
          <w:sz w:val="28"/>
          <w:szCs w:val="28"/>
        </w:rPr>
        <w:t xml:space="preserve">      This is a second project affiliated with the above projects and also will be addressed in the Prosperity </w:t>
      </w:r>
      <w:r w:rsidR="00B011C2">
        <w:rPr>
          <w:sz w:val="28"/>
          <w:szCs w:val="28"/>
        </w:rPr>
        <w:t>Union of GFG</w:t>
      </w:r>
    </w:p>
    <w:p w:rsidR="00C07F83" w:rsidRDefault="00C07F83" w:rsidP="00C07F83">
      <w:pPr>
        <w:spacing w:after="0" w:line="240" w:lineRule="auto"/>
        <w:rPr>
          <w:sz w:val="28"/>
          <w:szCs w:val="28"/>
        </w:rPr>
      </w:pPr>
      <w:r>
        <w:rPr>
          <w:sz w:val="28"/>
          <w:szCs w:val="28"/>
        </w:rPr>
        <w:t xml:space="preserve">     </w:t>
      </w:r>
      <w:r w:rsidR="00E72811">
        <w:rPr>
          <w:sz w:val="28"/>
          <w:szCs w:val="28"/>
        </w:rPr>
        <w:t>C</w:t>
      </w:r>
      <w:r>
        <w:rPr>
          <w:sz w:val="28"/>
          <w:szCs w:val="28"/>
        </w:rPr>
        <w:t xml:space="preserve">) </w:t>
      </w:r>
      <w:r w:rsidRPr="00052A13">
        <w:rPr>
          <w:sz w:val="28"/>
          <w:szCs w:val="28"/>
          <w:u w:val="single"/>
        </w:rPr>
        <w:t>Loan to Grant Program</w:t>
      </w:r>
      <w:r>
        <w:rPr>
          <w:sz w:val="28"/>
          <w:szCs w:val="28"/>
        </w:rPr>
        <w:t xml:space="preserve"> – Humanitarian Projects with milestones met and outlined to exceed agreed expectations of loan request participants.</w:t>
      </w:r>
    </w:p>
    <w:p w:rsidR="00C07F83" w:rsidRDefault="00C07F83" w:rsidP="00C07F83">
      <w:pPr>
        <w:spacing w:after="0" w:line="240" w:lineRule="auto"/>
        <w:rPr>
          <w:sz w:val="28"/>
          <w:szCs w:val="28"/>
        </w:rPr>
      </w:pPr>
    </w:p>
    <w:p w:rsidR="00C07F83" w:rsidRDefault="00C07F83" w:rsidP="00C07F83">
      <w:pPr>
        <w:spacing w:after="0" w:line="240" w:lineRule="auto"/>
        <w:rPr>
          <w:sz w:val="28"/>
          <w:szCs w:val="28"/>
        </w:rPr>
      </w:pPr>
      <w:r>
        <w:rPr>
          <w:sz w:val="28"/>
          <w:szCs w:val="28"/>
        </w:rPr>
        <w:t xml:space="preserve">Model County recruitment efforts will springboard local business outreach to develop new outlets for AFD and invite new ASN.  International Business will be State Committee and National State (County) Business will focus on </w:t>
      </w:r>
      <w:r>
        <w:rPr>
          <w:sz w:val="28"/>
          <w:szCs w:val="28"/>
        </w:rPr>
        <w:lastRenderedPageBreak/>
        <w:t xml:space="preserve">local based businesses, or </w:t>
      </w:r>
      <w:proofErr w:type="gramStart"/>
      <w:r>
        <w:rPr>
          <w:sz w:val="28"/>
          <w:szCs w:val="28"/>
        </w:rPr>
        <w:t>franchise  or</w:t>
      </w:r>
      <w:proofErr w:type="gramEnd"/>
      <w:r>
        <w:rPr>
          <w:sz w:val="28"/>
          <w:szCs w:val="28"/>
        </w:rPr>
        <w:t xml:space="preserve"> sole proprietor plus schools, farms, food,  and fun.  </w:t>
      </w:r>
    </w:p>
    <w:p w:rsidR="00C07F83" w:rsidRDefault="00C07F83" w:rsidP="00C07F83">
      <w:pPr>
        <w:spacing w:after="0" w:line="240" w:lineRule="auto"/>
        <w:rPr>
          <w:sz w:val="28"/>
          <w:szCs w:val="28"/>
        </w:rPr>
      </w:pPr>
    </w:p>
    <w:p w:rsidR="00C07F83" w:rsidRDefault="00C07F83" w:rsidP="00C07F83">
      <w:pPr>
        <w:spacing w:after="0" w:line="240" w:lineRule="auto"/>
        <w:rPr>
          <w:sz w:val="28"/>
          <w:szCs w:val="28"/>
        </w:rPr>
      </w:pPr>
    </w:p>
    <w:p w:rsidR="00E72811" w:rsidRDefault="00B011C2" w:rsidP="00B011C2">
      <w:pPr>
        <w:spacing w:after="0" w:line="240" w:lineRule="auto"/>
        <w:jc w:val="right"/>
        <w:rPr>
          <w:sz w:val="32"/>
          <w:szCs w:val="32"/>
        </w:rPr>
      </w:pPr>
      <w:r>
        <w:rPr>
          <w:sz w:val="32"/>
          <w:szCs w:val="32"/>
        </w:rPr>
        <w:t>Warm Regards,</w:t>
      </w:r>
    </w:p>
    <w:p w:rsidR="00E72811" w:rsidRPr="00B011C2" w:rsidRDefault="00B011C2" w:rsidP="00B011C2">
      <w:pPr>
        <w:spacing w:after="0" w:line="240" w:lineRule="auto"/>
        <w:jc w:val="right"/>
        <w:rPr>
          <w:rFonts w:ascii="Brush Script MT" w:hAnsi="Brush Script MT"/>
          <w:i/>
          <w:sz w:val="40"/>
          <w:szCs w:val="40"/>
        </w:rPr>
      </w:pPr>
      <w:r w:rsidRPr="00B011C2">
        <w:rPr>
          <w:rFonts w:ascii="Brush Script MT" w:hAnsi="Brush Script MT"/>
          <w:i/>
          <w:sz w:val="40"/>
          <w:szCs w:val="40"/>
        </w:rPr>
        <w:t>Denise Mraz</w:t>
      </w:r>
    </w:p>
    <w:p w:rsidR="00E72811" w:rsidRDefault="00E72811" w:rsidP="00B011C2">
      <w:pPr>
        <w:spacing w:after="0" w:line="240" w:lineRule="auto"/>
        <w:jc w:val="right"/>
        <w:rPr>
          <w:sz w:val="32"/>
          <w:szCs w:val="32"/>
        </w:rPr>
      </w:pPr>
    </w:p>
    <w:p w:rsidR="00C07F83" w:rsidRPr="00C07F83" w:rsidRDefault="00C07F83" w:rsidP="00B011C2">
      <w:pPr>
        <w:spacing w:after="0" w:line="240" w:lineRule="auto"/>
        <w:jc w:val="right"/>
        <w:rPr>
          <w:sz w:val="32"/>
          <w:szCs w:val="32"/>
        </w:rPr>
      </w:pPr>
      <w:r w:rsidRPr="00C07F83">
        <w:rPr>
          <w:sz w:val="32"/>
          <w:szCs w:val="32"/>
        </w:rPr>
        <w:t>Denise Mraz</w:t>
      </w:r>
    </w:p>
    <w:p w:rsidR="00C07F83" w:rsidRDefault="00C07F83" w:rsidP="00B011C2">
      <w:pPr>
        <w:spacing w:after="0" w:line="240" w:lineRule="auto"/>
        <w:jc w:val="right"/>
        <w:rPr>
          <w:sz w:val="28"/>
          <w:szCs w:val="28"/>
        </w:rPr>
      </w:pPr>
      <w:r>
        <w:rPr>
          <w:sz w:val="28"/>
          <w:szCs w:val="28"/>
        </w:rPr>
        <w:t>The Nevada Assembly Banking Liaison</w:t>
      </w:r>
    </w:p>
    <w:p w:rsidR="00C07F83" w:rsidRDefault="00C07F83" w:rsidP="00B011C2">
      <w:pPr>
        <w:spacing w:after="0" w:line="240" w:lineRule="auto"/>
        <w:jc w:val="right"/>
        <w:rPr>
          <w:sz w:val="28"/>
          <w:szCs w:val="28"/>
        </w:rPr>
      </w:pPr>
      <w:r>
        <w:rPr>
          <w:sz w:val="28"/>
          <w:szCs w:val="28"/>
        </w:rPr>
        <w:t>Assembly Outreach Chairwoman</w:t>
      </w:r>
    </w:p>
    <w:p w:rsidR="00C07F83" w:rsidRDefault="00C07F83" w:rsidP="00B011C2">
      <w:pPr>
        <w:spacing w:after="0" w:line="240" w:lineRule="auto"/>
        <w:jc w:val="right"/>
        <w:rPr>
          <w:sz w:val="28"/>
          <w:szCs w:val="28"/>
        </w:rPr>
      </w:pPr>
      <w:r>
        <w:rPr>
          <w:sz w:val="28"/>
          <w:szCs w:val="28"/>
        </w:rPr>
        <w:t>Oversight Committee</w:t>
      </w:r>
    </w:p>
    <w:p w:rsidR="00C07F83" w:rsidRPr="00DD07F3" w:rsidRDefault="00C07F83" w:rsidP="00B011C2">
      <w:pPr>
        <w:spacing w:after="0" w:line="240" w:lineRule="auto"/>
        <w:jc w:val="right"/>
        <w:rPr>
          <w:sz w:val="28"/>
          <w:szCs w:val="28"/>
        </w:rPr>
      </w:pPr>
      <w:r>
        <w:rPr>
          <w:sz w:val="28"/>
          <w:szCs w:val="28"/>
        </w:rPr>
        <w:t>Denise.Mraz@tccnva.org</w:t>
      </w:r>
    </w:p>
    <w:p w:rsidR="00A873B3" w:rsidRDefault="00A873B3" w:rsidP="00B011C2">
      <w:pPr>
        <w:jc w:val="right"/>
      </w:pPr>
    </w:p>
    <w:sectPr w:rsidR="00A873B3" w:rsidSect="00A873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A71"/>
    <w:multiLevelType w:val="hybridMultilevel"/>
    <w:tmpl w:val="8AEE3C76"/>
    <w:lvl w:ilvl="0" w:tplc="6624E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66844"/>
    <w:multiLevelType w:val="hybridMultilevel"/>
    <w:tmpl w:val="DE82AF14"/>
    <w:lvl w:ilvl="0" w:tplc="03B6CC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F83"/>
    <w:rsid w:val="00A873B3"/>
    <w:rsid w:val="00B011C2"/>
    <w:rsid w:val="00C07F83"/>
    <w:rsid w:val="00E72811"/>
    <w:rsid w:val="00FC7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83"/>
    <w:pPr>
      <w:ind w:left="720"/>
      <w:contextualSpacing/>
    </w:pPr>
  </w:style>
  <w:style w:type="paragraph" w:styleId="BalloonText">
    <w:name w:val="Balloon Text"/>
    <w:basedOn w:val="Normal"/>
    <w:link w:val="BalloonTextChar"/>
    <w:uiPriority w:val="99"/>
    <w:semiHidden/>
    <w:unhideWhenUsed/>
    <w:rsid w:val="00C0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F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Paper">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2025-05-19T16:42:00Z</dcterms:created>
  <dcterms:modified xsi:type="dcterms:W3CDTF">2025-05-19T16:42:00Z</dcterms:modified>
</cp:coreProperties>
</file>