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D1BB" w14:textId="77777777" w:rsidR="00486132" w:rsidRPr="001032B2" w:rsidRDefault="00486132" w:rsidP="00486132">
      <w:pPr>
        <w:rPr>
          <w:b/>
          <w:bCs/>
          <w:sz w:val="28"/>
          <w:szCs w:val="28"/>
        </w:rPr>
      </w:pPr>
      <w:r w:rsidRPr="001032B2">
        <w:rPr>
          <w:b/>
          <w:bCs/>
          <w:sz w:val="28"/>
          <w:szCs w:val="28"/>
        </w:rPr>
        <w:t>Purpose and Intent</w:t>
      </w:r>
    </w:p>
    <w:p w14:paraId="359BCF8C" w14:textId="77777777" w:rsidR="00486132" w:rsidRDefault="00486132" w:rsidP="00486132">
      <w:r>
        <w:t>To Equip all American State Assemblies in need of Guidance Regarding Conflict Resolution of Internal Matters.</w:t>
      </w:r>
    </w:p>
    <w:p w14:paraId="3575F4D1" w14:textId="77777777" w:rsidR="00486132" w:rsidRDefault="00486132" w:rsidP="00486132">
      <w:r>
        <w:t>Outline for the Limited Role of The Peacekeeping Task Force (PKTF) in Facilitating American State Assemblies Regarding Internal Peacekeeping</w:t>
      </w:r>
    </w:p>
    <w:p w14:paraId="093DD04B" w14:textId="77777777" w:rsidR="00486132" w:rsidRPr="001032B2" w:rsidRDefault="00486132" w:rsidP="00486132">
      <w:pPr>
        <w:rPr>
          <w:b/>
          <w:bCs/>
          <w:sz w:val="28"/>
          <w:szCs w:val="28"/>
        </w:rPr>
      </w:pPr>
      <w:r w:rsidRPr="001032B2">
        <w:rPr>
          <w:b/>
          <w:bCs/>
          <w:sz w:val="28"/>
          <w:szCs w:val="28"/>
        </w:rPr>
        <w:t>Introduction</w:t>
      </w:r>
    </w:p>
    <w:p w14:paraId="236C82F9" w14:textId="77777777" w:rsidR="00486132" w:rsidRDefault="00486132" w:rsidP="00486132"/>
    <w:p w14:paraId="14E94701" w14:textId="77777777" w:rsidR="00486132" w:rsidRDefault="00486132" w:rsidP="00486132">
      <w:r>
        <w:t>Overview of PKTF’s mission in supporting new or reestablished American State Assemblies.</w:t>
      </w:r>
    </w:p>
    <w:p w14:paraId="54559BD9" w14:textId="77777777" w:rsidR="00486132" w:rsidRDefault="00486132" w:rsidP="00486132">
      <w:r>
        <w:t>It is important to establish internal peacekeeping entities for stable Assembly operations.</w:t>
      </w:r>
    </w:p>
    <w:p w14:paraId="462D11CE" w14:textId="77777777" w:rsidR="00486132" w:rsidRDefault="00486132"/>
    <w:p w14:paraId="691DB68E" w14:textId="7348AD4B" w:rsidR="00710EB3" w:rsidRPr="00486132" w:rsidRDefault="000A2F0C">
      <w:pPr>
        <w:rPr>
          <w:b/>
          <w:bCs/>
          <w:sz w:val="28"/>
          <w:szCs w:val="28"/>
        </w:rPr>
      </w:pPr>
      <w:r w:rsidRPr="00486132">
        <w:rPr>
          <w:b/>
          <w:bCs/>
          <w:sz w:val="28"/>
          <w:szCs w:val="28"/>
        </w:rPr>
        <w:t>Obligations of PKTF (New and Re-entry Assembly)</w:t>
      </w:r>
    </w:p>
    <w:p w14:paraId="3F6D37D5" w14:textId="77777777" w:rsidR="000A2F0C" w:rsidRDefault="000A2F0C"/>
    <w:p w14:paraId="14B5EFC1" w14:textId="132E420D" w:rsidR="000A2F0C" w:rsidRPr="00486132" w:rsidRDefault="000A2F0C">
      <w:pPr>
        <w:rPr>
          <w:b/>
          <w:bCs/>
        </w:rPr>
      </w:pPr>
      <w:r w:rsidRPr="00486132">
        <w:rPr>
          <w:b/>
          <w:bCs/>
        </w:rPr>
        <w:t>Facilitation of Entry (for Re-entry) into General Assembly Meetings</w:t>
      </w:r>
    </w:p>
    <w:p w14:paraId="3AF97FD6" w14:textId="197F0406" w:rsidR="000A2F0C" w:rsidRDefault="000A2F0C">
      <w:r>
        <w:t>Ensure a smooth transition for Assemblies entering or re-entering in-session meetings.</w:t>
      </w:r>
    </w:p>
    <w:p w14:paraId="3C2144B1" w14:textId="01A07B4D" w:rsidR="000A2F0C" w:rsidRDefault="000A2F0C">
      <w:r>
        <w:t>Guide procedural and operational – best practices.</w:t>
      </w:r>
    </w:p>
    <w:p w14:paraId="13A15FC1" w14:textId="77777777" w:rsidR="000A2F0C" w:rsidRDefault="000A2F0C"/>
    <w:p w14:paraId="16073F38" w14:textId="06C969B4" w:rsidR="000A2F0C" w:rsidRPr="00486132" w:rsidRDefault="000A2F0C">
      <w:pPr>
        <w:rPr>
          <w:b/>
          <w:bCs/>
        </w:rPr>
      </w:pPr>
      <w:r w:rsidRPr="00486132">
        <w:rPr>
          <w:b/>
          <w:bCs/>
        </w:rPr>
        <w:t>Establishment of Mashal-at-Arms</w:t>
      </w:r>
    </w:p>
    <w:p w14:paraId="37F65846" w14:textId="3526A33B" w:rsidR="000A2F0C" w:rsidRPr="00486132" w:rsidRDefault="000A2F0C">
      <w:pPr>
        <w:rPr>
          <w:b/>
          <w:bCs/>
        </w:rPr>
      </w:pPr>
      <w:r w:rsidRPr="00486132">
        <w:rPr>
          <w:b/>
          <w:bCs/>
        </w:rPr>
        <w:t>Priority 1)</w:t>
      </w:r>
    </w:p>
    <w:p w14:paraId="066A93F2" w14:textId="58EB1D55" w:rsidR="000A2F0C" w:rsidRDefault="000A2F0C">
      <w:r>
        <w:t>Prioritize the selection and installation of a Marshal-at-Arms.</w:t>
      </w:r>
    </w:p>
    <w:p w14:paraId="22072808" w14:textId="191EDCCD" w:rsidR="000A2F0C" w:rsidRDefault="000A2F0C">
      <w:r>
        <w:t>Role: Maintain order and decorum during meetings, ensuring respectful and productive discourse.</w:t>
      </w:r>
    </w:p>
    <w:p w14:paraId="1151F006" w14:textId="7F7892A0" w:rsidR="000A2F0C" w:rsidRDefault="000A2F0C">
      <w:r>
        <w:t>Emphasize the critical nature of this role in precenting disruptions and maintaining stability during agenda-driv</w:t>
      </w:r>
      <w:r w:rsidR="00486132">
        <w:t>en Assembly Pillar meetings.</w:t>
      </w:r>
    </w:p>
    <w:p w14:paraId="78CBC248" w14:textId="579E2057" w:rsidR="00486132" w:rsidRDefault="00486132">
      <w:r>
        <w:t>Responsible for confirmation of election cycles, counted ballots and election results, and publications.</w:t>
      </w:r>
    </w:p>
    <w:p w14:paraId="37E9B0F4" w14:textId="77777777" w:rsidR="00486132" w:rsidRDefault="00486132"/>
    <w:p w14:paraId="0C573398" w14:textId="6042BFD0" w:rsidR="00486132" w:rsidRPr="001032B2" w:rsidRDefault="00486132">
      <w:pPr>
        <w:rPr>
          <w:b/>
          <w:bCs/>
          <w:sz w:val="28"/>
          <w:szCs w:val="28"/>
        </w:rPr>
      </w:pPr>
      <w:r w:rsidRPr="001032B2">
        <w:rPr>
          <w:b/>
          <w:bCs/>
          <w:sz w:val="28"/>
          <w:szCs w:val="28"/>
        </w:rPr>
        <w:t>Development of Ombudsman Services</w:t>
      </w:r>
    </w:p>
    <w:p w14:paraId="642E1071" w14:textId="7C93C4DC" w:rsidR="00486132" w:rsidRPr="001032B2" w:rsidRDefault="001032B2">
      <w:pPr>
        <w:rPr>
          <w:b/>
          <w:bCs/>
        </w:rPr>
      </w:pPr>
      <w:r w:rsidRPr="001032B2">
        <w:rPr>
          <w:b/>
          <w:bCs/>
        </w:rPr>
        <w:lastRenderedPageBreak/>
        <w:t>Priority 2)</w:t>
      </w:r>
    </w:p>
    <w:p w14:paraId="6E6DBA7A" w14:textId="710622FB" w:rsidR="001032B2" w:rsidRDefault="001032B2">
      <w:r>
        <w:t>Implement a stable Ombudsman Service aligned with proven effective industry standards.</w:t>
      </w:r>
    </w:p>
    <w:p w14:paraId="1F870771" w14:textId="1A836ABA" w:rsidR="001032B2" w:rsidRDefault="001032B2">
      <w:r>
        <w:t>Role: Address grievances and facilitate conflict resolution within the assembly.</w:t>
      </w:r>
    </w:p>
    <w:p w14:paraId="6BD1B63C" w14:textId="150B6D1C" w:rsidR="001032B2" w:rsidRDefault="001032B2">
      <w:r>
        <w:t>Highlight the importance of this service in fostering transparency and trust throughout the entire Assembly Pillar construct.</w:t>
      </w:r>
    </w:p>
    <w:p w14:paraId="3C0E8896" w14:textId="77777777" w:rsidR="001032B2" w:rsidRDefault="001032B2"/>
    <w:p w14:paraId="10688CD8" w14:textId="341E6702" w:rsidR="001032B2" w:rsidRPr="0039468D" w:rsidRDefault="001032B2">
      <w:pPr>
        <w:rPr>
          <w:b/>
          <w:bCs/>
          <w:sz w:val="28"/>
          <w:szCs w:val="28"/>
        </w:rPr>
      </w:pPr>
      <w:r w:rsidRPr="0039468D">
        <w:rPr>
          <w:b/>
          <w:bCs/>
          <w:sz w:val="28"/>
          <w:szCs w:val="28"/>
        </w:rPr>
        <w:t>Importance of Internal Peacekeeping Entities</w:t>
      </w:r>
    </w:p>
    <w:p w14:paraId="18A842A9" w14:textId="77777777" w:rsidR="001032B2" w:rsidRDefault="001032B2"/>
    <w:p w14:paraId="68C425D1" w14:textId="5FA08143" w:rsidR="001032B2" w:rsidRDefault="001032B2">
      <w:r>
        <w:t xml:space="preserve">Without </w:t>
      </w:r>
      <w:proofErr w:type="gramStart"/>
      <w:r w:rsidR="0039468D">
        <w:t>a</w:t>
      </w:r>
      <w:r>
        <w:t xml:space="preserve"> Marshal</w:t>
      </w:r>
      <w:proofErr w:type="gramEnd"/>
      <w:r>
        <w:t>-at-Arms and Ombudsperson, even stable Assemblies risk significant, periodic, and potentially catastrophic Assembly setbacks!</w:t>
      </w:r>
    </w:p>
    <w:p w14:paraId="7F4E498F" w14:textId="5BD1100B" w:rsidR="001032B2" w:rsidRDefault="001032B2">
      <w:r>
        <w:t>These roles are essential for maintaining order and addressing organizational issues proactively.</w:t>
      </w:r>
    </w:p>
    <w:p w14:paraId="0DAB53C9" w14:textId="77777777" w:rsidR="0039468D" w:rsidRDefault="0039468D"/>
    <w:p w14:paraId="7A6BA5E2" w14:textId="37925283" w:rsidR="0039468D" w:rsidRPr="0039468D" w:rsidRDefault="0039468D">
      <w:pPr>
        <w:rPr>
          <w:b/>
          <w:bCs/>
          <w:sz w:val="28"/>
          <w:szCs w:val="28"/>
        </w:rPr>
      </w:pPr>
      <w:r w:rsidRPr="0039468D">
        <w:rPr>
          <w:b/>
          <w:bCs/>
          <w:sz w:val="28"/>
          <w:szCs w:val="28"/>
        </w:rPr>
        <w:t>Examples of Breakdowns in Meeting Decorum and Conflict Resolution</w:t>
      </w:r>
    </w:p>
    <w:p w14:paraId="1B5C83E2" w14:textId="77777777" w:rsidR="0039468D" w:rsidRDefault="0039468D"/>
    <w:p w14:paraId="69804C5A" w14:textId="2C1CEC45" w:rsidR="0039468D" w:rsidRDefault="0039468D">
      <w:r w:rsidRPr="0039468D">
        <w:rPr>
          <w:b/>
          <w:bCs/>
        </w:rPr>
        <w:t>Lack of Order During Debates:</w:t>
      </w:r>
      <w:r>
        <w:t xml:space="preserve"> Members interrupting each other during heated debates can lead to chaos if agreed-upon, simple to comprehend riles are not enforced.</w:t>
      </w:r>
    </w:p>
    <w:p w14:paraId="2F4F722F" w14:textId="77777777" w:rsidR="0039468D" w:rsidRDefault="0039468D"/>
    <w:p w14:paraId="7C73E5B1" w14:textId="1C69AD42" w:rsidR="00486132" w:rsidRDefault="0039468D">
      <w:r w:rsidRPr="0039468D">
        <w:rPr>
          <w:b/>
          <w:bCs/>
        </w:rPr>
        <w:t>Disruptive Audience Behavior:</w:t>
      </w:r>
      <w:r>
        <w:t xml:space="preserve"> Shouting or unruly behavior from the audience Floor can and will disrupt meetings if not addressed promptly!</w:t>
      </w:r>
    </w:p>
    <w:p w14:paraId="354EEE37" w14:textId="77777777" w:rsidR="0039468D" w:rsidRDefault="0039468D"/>
    <w:p w14:paraId="46365FBA" w14:textId="0E23E866" w:rsidR="0039468D" w:rsidRDefault="0039468D">
      <w:r w:rsidRPr="0039468D">
        <w:rPr>
          <w:b/>
          <w:bCs/>
        </w:rPr>
        <w:t>Personal Attacks and Uncivil Discourse:</w:t>
      </w:r>
      <w:r>
        <w:t xml:space="preserve"> Personal attacks, disrespectful language, and unfounded animosities can severely derail productive discussions!</w:t>
      </w:r>
    </w:p>
    <w:p w14:paraId="50A5A1A5" w14:textId="77777777" w:rsidR="0039468D" w:rsidRDefault="0039468D"/>
    <w:p w14:paraId="4748FAC6" w14:textId="3C2A5C6E" w:rsidR="0039468D" w:rsidRDefault="0039468D">
      <w:r w:rsidRPr="0050750C">
        <w:rPr>
          <w:b/>
          <w:bCs/>
        </w:rPr>
        <w:t>Failure to Address Misconduct:</w:t>
      </w:r>
      <w:r>
        <w:t xml:space="preserve"> Ignoring persistent misconduct, such as speaking out of turn, flail</w:t>
      </w:r>
      <w:r w:rsidR="0050750C">
        <w:t>ing accusations, and flagrant, repetitive outbursts can and will lead to further disorder!</w:t>
      </w:r>
    </w:p>
    <w:p w14:paraId="750A64D7" w14:textId="77777777" w:rsidR="0050750C" w:rsidRDefault="0050750C"/>
    <w:p w14:paraId="5D65495C" w14:textId="3ABE6626" w:rsidR="0050750C" w:rsidRPr="0050750C" w:rsidRDefault="0050750C">
      <w:pPr>
        <w:rPr>
          <w:b/>
          <w:bCs/>
          <w:sz w:val="28"/>
          <w:szCs w:val="28"/>
        </w:rPr>
      </w:pPr>
      <w:r w:rsidRPr="0050750C">
        <w:rPr>
          <w:b/>
          <w:bCs/>
          <w:sz w:val="28"/>
          <w:szCs w:val="28"/>
        </w:rPr>
        <w:lastRenderedPageBreak/>
        <w:t>Example of Unutilized Ombudsman Role Leading to Conflicts</w:t>
      </w:r>
    </w:p>
    <w:p w14:paraId="7B16CEB5" w14:textId="77777777" w:rsidR="0050750C" w:rsidRDefault="0050750C"/>
    <w:p w14:paraId="189EFDB9" w14:textId="63B813CD" w:rsidR="0050750C" w:rsidRDefault="0050750C">
      <w:r w:rsidRPr="0050750C">
        <w:rPr>
          <w:b/>
          <w:bCs/>
        </w:rPr>
        <w:t>Unaddressed Harassment and Bullying:</w:t>
      </w:r>
      <w:r>
        <w:t xml:space="preserve"> Without an Ombudsman, harassment claims may go unresolved, leading to an overall toxic environment.</w:t>
      </w:r>
    </w:p>
    <w:p w14:paraId="46F41B97" w14:textId="77777777" w:rsidR="0050750C" w:rsidRDefault="0050750C"/>
    <w:p w14:paraId="504B85FA" w14:textId="4E3F4EC7" w:rsidR="0050750C" w:rsidRDefault="0050750C">
      <w:r w:rsidRPr="00141BC0">
        <w:rPr>
          <w:b/>
          <w:bCs/>
        </w:rPr>
        <w:t>Ineffective Grievance Redressal:</w:t>
      </w:r>
      <w:r>
        <w:t xml:space="preserve"> Grievances related to unfair treatment </w:t>
      </w:r>
      <w:proofErr w:type="spellStart"/>
      <w:r>
        <w:t>ot</w:t>
      </w:r>
      <w:proofErr w:type="spellEnd"/>
      <w:r>
        <w:t xml:space="preserve"> improperly utilized organizational procedures may remain unresolved without an Ombudsman.</w:t>
      </w:r>
    </w:p>
    <w:p w14:paraId="2C5C2FEC" w14:textId="77777777" w:rsidR="0050750C" w:rsidRDefault="0050750C"/>
    <w:p w14:paraId="172CC35B" w14:textId="3F8B90B6" w:rsidR="0050750C" w:rsidRDefault="0050750C">
      <w:r w:rsidRPr="00141BC0">
        <w:rPr>
          <w:b/>
          <w:bCs/>
        </w:rPr>
        <w:t>Lack of Early Conflict Resolution</w:t>
      </w:r>
      <w:r>
        <w:t>: Absence of an Ombudsman can result in unresolved disputes that escalate into increasingly larger issues. These same issues, by default, often find themselves cascading onto the Floor of the General Assembly leading to inevitable unrest and crippling decorum disruption!</w:t>
      </w:r>
    </w:p>
    <w:p w14:paraId="25EFE58D" w14:textId="77777777" w:rsidR="0050750C" w:rsidRDefault="0050750C"/>
    <w:p w14:paraId="4CC9CA16" w14:textId="792B571D" w:rsidR="0050750C" w:rsidRDefault="0050750C">
      <w:r w:rsidRPr="00141BC0">
        <w:rPr>
          <w:b/>
          <w:bCs/>
        </w:rPr>
        <w:t>Overlooked Elected Officer of Sovereign Concerns</w:t>
      </w:r>
      <w:r>
        <w:t>: Elected officers, committee members, and sovereign State national alike may feel unheard, marginalized, or discounted resulting in decreased</w:t>
      </w:r>
      <w:r w:rsidR="00141BC0">
        <w:t xml:space="preserve"> Assembly morale and Committee productivity.</w:t>
      </w:r>
    </w:p>
    <w:p w14:paraId="0C5007DD" w14:textId="77777777" w:rsidR="00141BC0" w:rsidRDefault="00141BC0"/>
    <w:p w14:paraId="3FB32393" w14:textId="15E8774A" w:rsidR="00141BC0" w:rsidRPr="00141BC0" w:rsidRDefault="00141BC0">
      <w:pPr>
        <w:rPr>
          <w:b/>
          <w:bCs/>
          <w:sz w:val="28"/>
          <w:szCs w:val="28"/>
        </w:rPr>
      </w:pPr>
      <w:r w:rsidRPr="00141BC0">
        <w:rPr>
          <w:b/>
          <w:bCs/>
          <w:sz w:val="28"/>
          <w:szCs w:val="28"/>
        </w:rPr>
        <w:t>Support During Oversight Committee Investigations</w:t>
      </w:r>
    </w:p>
    <w:p w14:paraId="1807217E" w14:textId="77777777" w:rsidR="00141BC0" w:rsidRDefault="00141BC0"/>
    <w:p w14:paraId="66ABE706" w14:textId="6D67C3EF" w:rsidR="00141BC0" w:rsidRDefault="00141BC0">
      <w:r>
        <w:t>Marshal-at-Arms and Ombudsman assist in ensuring fair and orderly proceedings during investigations.</w:t>
      </w:r>
    </w:p>
    <w:p w14:paraId="38D1AB34" w14:textId="46DA3A8A" w:rsidR="00141BC0" w:rsidRDefault="00141BC0">
      <w:r>
        <w:t>Their presence is vitally beneficial for maintaining integrity and impartiality in oversight activities!</w:t>
      </w:r>
    </w:p>
    <w:p w14:paraId="72B68C98" w14:textId="77777777" w:rsidR="00141BC0" w:rsidRDefault="00141BC0"/>
    <w:p w14:paraId="104DC3E2" w14:textId="72057471" w:rsidR="00141BC0" w:rsidRDefault="00141BC0">
      <w:r>
        <w:t>These same internal peacekeeping roles greatly assist with Assembly Milita development and oversight by virtue of the functioning roles they maintain within the General Assembly!</w:t>
      </w:r>
    </w:p>
    <w:p w14:paraId="1B82004A" w14:textId="51F94A81" w:rsidR="00141BC0" w:rsidRPr="00141BC0" w:rsidRDefault="00141BC0">
      <w:pPr>
        <w:rPr>
          <w:b/>
          <w:bCs/>
        </w:rPr>
      </w:pPr>
      <w:r w:rsidRPr="00141BC0">
        <w:rPr>
          <w:b/>
          <w:bCs/>
        </w:rPr>
        <w:t>….</w:t>
      </w:r>
    </w:p>
    <w:p w14:paraId="5C1D8EA5" w14:textId="77777777" w:rsidR="00141BC0" w:rsidRDefault="00141BC0"/>
    <w:p w14:paraId="26904295" w14:textId="71932165" w:rsidR="00141BC0" w:rsidRPr="00141BC0" w:rsidRDefault="00141BC0">
      <w:pPr>
        <w:rPr>
          <w:b/>
          <w:bCs/>
          <w:sz w:val="28"/>
          <w:szCs w:val="28"/>
        </w:rPr>
      </w:pPr>
      <w:r w:rsidRPr="00141BC0">
        <w:rPr>
          <w:b/>
          <w:bCs/>
          <w:sz w:val="28"/>
          <w:szCs w:val="28"/>
        </w:rPr>
        <w:t>Caveats on Potential Outsourcing the Ombudsman Role</w:t>
      </w:r>
    </w:p>
    <w:p w14:paraId="08EB8D42" w14:textId="51BA2A95" w:rsidR="00141BC0" w:rsidRDefault="00141BC0">
      <w:r>
        <w:lastRenderedPageBreak/>
        <w:t>Outsourcing to other experienced and status-corrected Ombudsman from other American State Assemblies can offer even greater neutrality and unbiased perspectives.</w:t>
      </w:r>
    </w:p>
    <w:p w14:paraId="226F87C9" w14:textId="77777777" w:rsidR="00141BC0" w:rsidRDefault="00141BC0"/>
    <w:p w14:paraId="6F2A1664" w14:textId="6B405790" w:rsidR="00141BC0" w:rsidRPr="005023D8" w:rsidRDefault="00141BC0">
      <w:pPr>
        <w:rPr>
          <w:b/>
          <w:bCs/>
        </w:rPr>
      </w:pPr>
      <w:r w:rsidRPr="005023D8">
        <w:rPr>
          <w:b/>
          <w:bCs/>
        </w:rPr>
        <w:t>Some benefits include:</w:t>
      </w:r>
    </w:p>
    <w:p w14:paraId="3442D0EA" w14:textId="77777777" w:rsidR="00141BC0" w:rsidRDefault="00141BC0"/>
    <w:p w14:paraId="2003FA4C" w14:textId="098382B0" w:rsidR="00141BC0" w:rsidRDefault="00141BC0">
      <w:r w:rsidRPr="005023D8">
        <w:rPr>
          <w:b/>
          <w:bCs/>
        </w:rPr>
        <w:t>Impartial Conflict Resolution:</w:t>
      </w:r>
      <w:r>
        <w:t xml:space="preserve"> External Ombudsman </w:t>
      </w:r>
      <w:r w:rsidR="005023D8">
        <w:t>provides</w:t>
      </w:r>
      <w:r>
        <w:t xml:space="preserve"> a neutral </w:t>
      </w:r>
      <w:r w:rsidR="005023D8">
        <w:t>stance, free from internal biases or allegations of biases from fellow Assembly members.</w:t>
      </w:r>
    </w:p>
    <w:p w14:paraId="2DEAE799" w14:textId="77777777" w:rsidR="005023D8" w:rsidRDefault="005023D8"/>
    <w:p w14:paraId="7DC728AB" w14:textId="45457252" w:rsidR="00141BC0" w:rsidRDefault="005023D8">
      <w:r w:rsidRPr="005023D8">
        <w:rPr>
          <w:b/>
          <w:bCs/>
        </w:rPr>
        <w:t>Specialized Expertise:</w:t>
      </w:r>
      <w:r>
        <w:t xml:space="preserve"> Assess experienced professionals skilled in alternative dispute resolution techniques based on more evolved Ombudsman Service, previously researched and rehearsed industry practice.</w:t>
      </w:r>
    </w:p>
    <w:p w14:paraId="667C5BE6" w14:textId="77777777" w:rsidR="005023D8" w:rsidRDefault="005023D8"/>
    <w:p w14:paraId="2EF0BFAC" w14:textId="6A944036" w:rsidR="005023D8" w:rsidRDefault="005023D8">
      <w:r w:rsidRPr="005023D8">
        <w:rPr>
          <w:b/>
          <w:bCs/>
        </w:rPr>
        <w:t>Enhanced Trust:</w:t>
      </w:r>
      <w:r>
        <w:t xml:space="preserve"> Employees may feel more comfortable reporting issues to an external party having no personal but-</w:t>
      </w:r>
      <w:proofErr w:type="gramStart"/>
      <w:r>
        <w:t>in prior</w:t>
      </w:r>
      <w:proofErr w:type="gramEnd"/>
      <w:r>
        <w:t xml:space="preserve"> knowledge, vested interest, or likely personal relationships with other people from other State Assemblies in need of service.</w:t>
      </w:r>
    </w:p>
    <w:p w14:paraId="4B46CC43" w14:textId="77777777" w:rsidR="005023D8" w:rsidRDefault="005023D8"/>
    <w:p w14:paraId="700C1CD4" w14:textId="190B10AB" w:rsidR="005023D8" w:rsidRDefault="005023D8">
      <w:r w:rsidRPr="00BE40BC">
        <w:rPr>
          <w:b/>
          <w:bCs/>
        </w:rPr>
        <w:t>Objective Insights:</w:t>
      </w:r>
      <w:r>
        <w:t xml:space="preserve"> Outsourced services can identify systemic issues without internal influence.</w:t>
      </w:r>
    </w:p>
    <w:p w14:paraId="6FC714E3" w14:textId="77777777" w:rsidR="005023D8" w:rsidRDefault="005023D8"/>
    <w:p w14:paraId="1AB849FB" w14:textId="58000340" w:rsidR="005023D8" w:rsidRPr="00BE40BC" w:rsidRDefault="005023D8">
      <w:pPr>
        <w:rPr>
          <w:b/>
          <w:bCs/>
          <w:sz w:val="28"/>
          <w:szCs w:val="28"/>
        </w:rPr>
      </w:pPr>
      <w:r w:rsidRPr="00BE40BC">
        <w:rPr>
          <w:b/>
          <w:bCs/>
          <w:sz w:val="28"/>
          <w:szCs w:val="28"/>
        </w:rPr>
        <w:t>**Caveats on Misunderstanding PKTF’s Role Concerning Peacekeeping</w:t>
      </w:r>
    </w:p>
    <w:p w14:paraId="1E592A7A" w14:textId="77777777" w:rsidR="005023D8" w:rsidRDefault="005023D8"/>
    <w:p w14:paraId="10B79E7C" w14:textId="6854B70E" w:rsidR="005023D8" w:rsidRDefault="005023D8">
      <w:r>
        <w:t>There is often an unwarranted expectation for PKTF involvement when conflicts occur</w:t>
      </w:r>
      <w:proofErr w:type="gramStart"/>
      <w:r>
        <w:t xml:space="preserve"> State</w:t>
      </w:r>
      <w:proofErr w:type="gramEnd"/>
      <w:r>
        <w:t xml:space="preserve"> Assemblies lacking internal peacekeeping assets.</w:t>
      </w:r>
    </w:p>
    <w:p w14:paraId="26EC65FA" w14:textId="76B4FABE" w:rsidR="005023D8" w:rsidRDefault="005023D8">
      <w:r>
        <w:t>Assemblies may mistakenly see</w:t>
      </w:r>
      <w:r w:rsidR="00BE40BC">
        <w:t>k</w:t>
      </w:r>
      <w:r>
        <w:t xml:space="preserve"> PKTF assistance through the Federation of States due to a lack of known remedies, despite </w:t>
      </w:r>
      <w:r w:rsidR="00BE40BC">
        <w:t xml:space="preserve">PKTF not currently being chartered for direct conflict resolution service within any State Assembly Pillar. </w:t>
      </w:r>
      <w:proofErr w:type="gramStart"/>
      <w:r w:rsidR="00BE40BC" w:rsidRPr="00BE40BC">
        <w:rPr>
          <w:u w:val="single"/>
        </w:rPr>
        <w:t>This misunderstanding underscores</w:t>
      </w:r>
      <w:proofErr w:type="gramEnd"/>
      <w:r w:rsidR="00BE40BC">
        <w:t xml:space="preserve"> the need for internal peacekeeping structures.</w:t>
      </w:r>
    </w:p>
    <w:p w14:paraId="0A8A09F3" w14:textId="55EA2D31" w:rsidR="00BE40BC" w:rsidRDefault="00BE40BC" w:rsidP="00BE40BC">
      <w:pPr>
        <w:pStyle w:val="ListParagraph"/>
        <w:numPr>
          <w:ilvl w:val="0"/>
          <w:numId w:val="1"/>
        </w:numPr>
      </w:pPr>
      <w:r>
        <w:t>This same misunderstanding often overburdens the current availability of PKTF chartered services needed elsewhere unnecessarily.</w:t>
      </w:r>
    </w:p>
    <w:p w14:paraId="5C3C22B9" w14:textId="6D5AC77F" w:rsidR="00BE40BC" w:rsidRDefault="00BE40BC" w:rsidP="00BE40BC">
      <w:r>
        <w:t>-----------</w:t>
      </w:r>
    </w:p>
    <w:p w14:paraId="0C163C4B" w14:textId="09BC5B46" w:rsidR="00BE40BC" w:rsidRPr="00005ED2" w:rsidRDefault="00BE40BC" w:rsidP="00BE40BC">
      <w:pPr>
        <w:rPr>
          <w:b/>
          <w:bCs/>
        </w:rPr>
      </w:pPr>
      <w:r w:rsidRPr="00005ED2">
        <w:rPr>
          <w:b/>
          <w:bCs/>
        </w:rPr>
        <w:lastRenderedPageBreak/>
        <w:t>*Inadvertent future PKTF service possibilities:</w:t>
      </w:r>
    </w:p>
    <w:p w14:paraId="7C6CBD59" w14:textId="77777777" w:rsidR="00BE40BC" w:rsidRDefault="00BE40BC" w:rsidP="00BE40BC"/>
    <w:p w14:paraId="564F1450" w14:textId="60BE5292" w:rsidR="00BE40BC" w:rsidRDefault="00BE40BC" w:rsidP="00BE40BC">
      <w:pPr>
        <w:pStyle w:val="ListParagraph"/>
        <w:numPr>
          <w:ilvl w:val="0"/>
          <w:numId w:val="2"/>
        </w:numPr>
      </w:pPr>
      <w:r>
        <w:t xml:space="preserve">International Ombudsman Service Sponsoring </w:t>
      </w:r>
      <w:proofErr w:type="spellStart"/>
      <w:r>
        <w:t>og</w:t>
      </w:r>
      <w:proofErr w:type="spellEnd"/>
      <w:r>
        <w:t xml:space="preserve"> Private American Ombudsman Industry Services.</w:t>
      </w:r>
    </w:p>
    <w:p w14:paraId="44B99967" w14:textId="71863327" w:rsidR="00BE40BC" w:rsidRDefault="00BE40BC" w:rsidP="00BE40BC">
      <w:pPr>
        <w:ind w:left="360"/>
      </w:pPr>
      <w:r>
        <w:t>International Business Assembly service agreement potential.</w:t>
      </w:r>
    </w:p>
    <w:p w14:paraId="5234FCF5" w14:textId="5654A6FE" w:rsidR="00BE40BC" w:rsidRDefault="00BE40BC" w:rsidP="00BE40BC">
      <w:pPr>
        <w:ind w:left="360"/>
      </w:pPr>
      <w:proofErr w:type="spellStart"/>
      <w:r>
        <w:t>i.e</w:t>
      </w:r>
      <w:proofErr w:type="spellEnd"/>
      <w:r>
        <w:t xml:space="preserve"> &gt; outsourcing Ombudsman Service Provisions across State lines from one American State </w:t>
      </w:r>
      <w:r w:rsidR="00005ED2">
        <w:t>Assembly</w:t>
      </w:r>
      <w:r>
        <w:t xml:space="preserve"> to another and vice versa,</w:t>
      </w:r>
    </w:p>
    <w:p w14:paraId="6E7B3952" w14:textId="77777777" w:rsidR="00BE40BC" w:rsidRDefault="00BE40BC" w:rsidP="00BE40BC">
      <w:pPr>
        <w:ind w:left="360"/>
      </w:pPr>
    </w:p>
    <w:p w14:paraId="70E540D9" w14:textId="6E0F90B7" w:rsidR="00BE40BC" w:rsidRDefault="00005ED2" w:rsidP="00BE40BC">
      <w:pPr>
        <w:ind w:left="360"/>
      </w:pPr>
      <w:r>
        <w:t>----------</w:t>
      </w:r>
    </w:p>
    <w:p w14:paraId="4EA8CB4A" w14:textId="168FC094" w:rsidR="00005ED2" w:rsidRPr="00005ED2" w:rsidRDefault="00005ED2" w:rsidP="00BE40BC">
      <w:pPr>
        <w:ind w:left="360"/>
        <w:rPr>
          <w:b/>
          <w:bCs/>
          <w:sz w:val="32"/>
          <w:szCs w:val="32"/>
        </w:rPr>
      </w:pPr>
      <w:r w:rsidRPr="00005ED2">
        <w:rPr>
          <w:b/>
          <w:bCs/>
          <w:sz w:val="32"/>
          <w:szCs w:val="32"/>
        </w:rPr>
        <w:t>Conclusion</w:t>
      </w:r>
    </w:p>
    <w:p w14:paraId="3BBFD974" w14:textId="77777777" w:rsidR="00005ED2" w:rsidRDefault="00005ED2" w:rsidP="00BE40BC">
      <w:pPr>
        <w:ind w:left="360"/>
      </w:pPr>
    </w:p>
    <w:p w14:paraId="2B0BB0D3" w14:textId="4D20671A" w:rsidR="00005ED2" w:rsidRDefault="00005ED2" w:rsidP="00BE40BC">
      <w:pPr>
        <w:ind w:left="360"/>
      </w:pPr>
      <w:r>
        <w:t>Reinforce the necessity of these crucial internal peacekeeping roles for the effective functioning and longevity of all American State Assemblies within the General Assembly environment. Through this effort, all remaining sub-Assembly Pillars will benefit tremendously from consistency of use!</w:t>
      </w:r>
    </w:p>
    <w:p w14:paraId="249530F9" w14:textId="77777777" w:rsidR="00005ED2" w:rsidRDefault="00005ED2" w:rsidP="00BE40BC">
      <w:pPr>
        <w:ind w:left="360"/>
      </w:pPr>
    </w:p>
    <w:p w14:paraId="66F13167" w14:textId="77777777" w:rsidR="00005ED2" w:rsidRDefault="00005ED2" w:rsidP="00BE40BC">
      <w:pPr>
        <w:ind w:left="360"/>
      </w:pPr>
    </w:p>
    <w:sectPr w:rsidR="00005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4B6"/>
    <w:multiLevelType w:val="hybridMultilevel"/>
    <w:tmpl w:val="1F7C3C42"/>
    <w:lvl w:ilvl="0" w:tplc="EC6C876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576F8"/>
    <w:multiLevelType w:val="hybridMultilevel"/>
    <w:tmpl w:val="93E2BDB0"/>
    <w:lvl w:ilvl="0" w:tplc="77AC92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2753">
    <w:abstractNumId w:val="1"/>
  </w:num>
  <w:num w:numId="2" w16cid:durableId="154528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0C"/>
    <w:rsid w:val="00005ED2"/>
    <w:rsid w:val="000A2F0C"/>
    <w:rsid w:val="001032B2"/>
    <w:rsid w:val="00141BC0"/>
    <w:rsid w:val="0039468D"/>
    <w:rsid w:val="00486132"/>
    <w:rsid w:val="005023D8"/>
    <w:rsid w:val="0050750C"/>
    <w:rsid w:val="00563BD2"/>
    <w:rsid w:val="00710EB3"/>
    <w:rsid w:val="008C7DEF"/>
    <w:rsid w:val="00BE40BC"/>
    <w:rsid w:val="00C15191"/>
    <w:rsid w:val="00E8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3B79"/>
  <w15:chartTrackingRefBased/>
  <w15:docId w15:val="{F15D9CF3-B8F1-47EC-BEDE-F5EFF23D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F0C"/>
    <w:rPr>
      <w:rFonts w:eastAsiaTheme="majorEastAsia" w:cstheme="majorBidi"/>
      <w:color w:val="272727" w:themeColor="text1" w:themeTint="D8"/>
    </w:rPr>
  </w:style>
  <w:style w:type="paragraph" w:styleId="Title">
    <w:name w:val="Title"/>
    <w:basedOn w:val="Normal"/>
    <w:next w:val="Normal"/>
    <w:link w:val="TitleChar"/>
    <w:uiPriority w:val="10"/>
    <w:qFormat/>
    <w:rsid w:val="000A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F0C"/>
    <w:pPr>
      <w:spacing w:before="160"/>
      <w:jc w:val="center"/>
    </w:pPr>
    <w:rPr>
      <w:i/>
      <w:iCs/>
      <w:color w:val="404040" w:themeColor="text1" w:themeTint="BF"/>
    </w:rPr>
  </w:style>
  <w:style w:type="character" w:customStyle="1" w:styleId="QuoteChar">
    <w:name w:val="Quote Char"/>
    <w:basedOn w:val="DefaultParagraphFont"/>
    <w:link w:val="Quote"/>
    <w:uiPriority w:val="29"/>
    <w:rsid w:val="000A2F0C"/>
    <w:rPr>
      <w:i/>
      <w:iCs/>
      <w:color w:val="404040" w:themeColor="text1" w:themeTint="BF"/>
    </w:rPr>
  </w:style>
  <w:style w:type="paragraph" w:styleId="ListParagraph">
    <w:name w:val="List Paragraph"/>
    <w:basedOn w:val="Normal"/>
    <w:uiPriority w:val="34"/>
    <w:qFormat/>
    <w:rsid w:val="000A2F0C"/>
    <w:pPr>
      <w:ind w:left="720"/>
      <w:contextualSpacing/>
    </w:pPr>
  </w:style>
  <w:style w:type="character" w:styleId="IntenseEmphasis">
    <w:name w:val="Intense Emphasis"/>
    <w:basedOn w:val="DefaultParagraphFont"/>
    <w:uiPriority w:val="21"/>
    <w:qFormat/>
    <w:rsid w:val="000A2F0C"/>
    <w:rPr>
      <w:i/>
      <w:iCs/>
      <w:color w:val="0F4761" w:themeColor="accent1" w:themeShade="BF"/>
    </w:rPr>
  </w:style>
  <w:style w:type="paragraph" w:styleId="IntenseQuote">
    <w:name w:val="Intense Quote"/>
    <w:basedOn w:val="Normal"/>
    <w:next w:val="Normal"/>
    <w:link w:val="IntenseQuoteChar"/>
    <w:uiPriority w:val="30"/>
    <w:qFormat/>
    <w:rsid w:val="000A2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F0C"/>
    <w:rPr>
      <w:i/>
      <w:iCs/>
      <w:color w:val="0F4761" w:themeColor="accent1" w:themeShade="BF"/>
    </w:rPr>
  </w:style>
  <w:style w:type="character" w:styleId="IntenseReference">
    <w:name w:val="Intense Reference"/>
    <w:basedOn w:val="DefaultParagraphFont"/>
    <w:uiPriority w:val="32"/>
    <w:qFormat/>
    <w:rsid w:val="000A2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2025-02-14T16:20:00Z</dcterms:created>
  <dcterms:modified xsi:type="dcterms:W3CDTF">2025-02-14T18:25:00Z</dcterms:modified>
</cp:coreProperties>
</file>