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248" w:rsidRPr="00041248" w:rsidRDefault="00041248" w:rsidP="00041248">
      <w:pPr>
        <w:spacing w:before="100" w:beforeAutospacing="1" w:after="100" w:afterAutospacing="1" w:line="240" w:lineRule="auto"/>
        <w:outlineLvl w:val="2"/>
        <w:rPr>
          <w:rFonts w:ascii="DejaVu Serif" w:eastAsia="Times New Roman" w:hAnsi="DejaVu Serif" w:cs="Times New Roman"/>
          <w:b/>
          <w:bCs/>
          <w:color w:val="000000"/>
          <w:sz w:val="28"/>
          <w:szCs w:val="28"/>
        </w:rPr>
      </w:pPr>
      <w:r w:rsidRPr="00041248">
        <w:rPr>
          <w:rFonts w:ascii="DejaVu Serif" w:eastAsia="Times New Roman" w:hAnsi="DejaVu Serif" w:cs="Times New Roman"/>
          <w:b/>
          <w:bCs/>
          <w:color w:val="000000"/>
          <w:sz w:val="28"/>
          <w:szCs w:val="28"/>
        </w:rPr>
        <w:t>Amendment 11 - Judicial Limits</w:t>
      </w:r>
    </w:p>
    <w:p w:rsidR="00041248" w:rsidRDefault="00041248" w:rsidP="00F903A4">
      <w:pPr>
        <w:spacing w:before="100" w:beforeAutospacing="1" w:after="100" w:afterAutospacing="1" w:line="240" w:lineRule="auto"/>
        <w:rPr>
          <w:rFonts w:asciiTheme="majorHAnsi" w:eastAsia="Times New Roman" w:hAnsiTheme="majorHAnsi" w:cs="Times New Roman"/>
          <w:color w:val="0070C0"/>
          <w:sz w:val="24"/>
          <w:szCs w:val="24"/>
        </w:rPr>
      </w:pPr>
      <w:r w:rsidRPr="00041248">
        <w:rPr>
          <w:rFonts w:asciiTheme="majorHAnsi" w:eastAsia="Times New Roman" w:hAnsiTheme="majorHAnsi" w:cs="Times New Roman"/>
          <w:color w:val="0070C0"/>
          <w:sz w:val="24"/>
          <w:szCs w:val="24"/>
        </w:rPr>
        <w:t>The Judicial power of the United States shall not be construed to extend to any suit in law or equity, commenced or prosecuted against one of the United States by Citizens of another State, or by Citizens or Subjects of any Foreign State.</w:t>
      </w:r>
    </w:p>
    <w:p w:rsidR="00F903A4" w:rsidRPr="00F903A4" w:rsidRDefault="00F903A4" w:rsidP="00F903A4">
      <w:pPr>
        <w:spacing w:before="100" w:beforeAutospacing="1" w:after="100" w:afterAutospacing="1" w:line="240" w:lineRule="auto"/>
        <w:rPr>
          <w:rFonts w:asciiTheme="majorHAnsi" w:eastAsia="Times New Roman" w:hAnsiTheme="majorHAnsi" w:cs="Times New Roman"/>
          <w:b/>
          <w:sz w:val="28"/>
          <w:szCs w:val="28"/>
        </w:rPr>
      </w:pPr>
      <w:r w:rsidRPr="00F903A4">
        <w:rPr>
          <w:rFonts w:asciiTheme="majorHAnsi" w:eastAsia="Times New Roman" w:hAnsiTheme="majorHAnsi" w:cs="Times New Roman"/>
          <w:b/>
          <w:sz w:val="28"/>
          <w:szCs w:val="28"/>
        </w:rPr>
        <w:t xml:space="preserve">Article 4 </w:t>
      </w:r>
    </w:p>
    <w:p w:rsidR="00F903A4" w:rsidRPr="00DB42A9" w:rsidRDefault="00F903A4" w:rsidP="00F903A4">
      <w:pPr>
        <w:spacing w:before="100" w:beforeAutospacing="1" w:after="100" w:afterAutospacing="1" w:line="240" w:lineRule="auto"/>
        <w:rPr>
          <w:color w:val="0070C0"/>
          <w:sz w:val="24"/>
          <w:szCs w:val="24"/>
        </w:rPr>
      </w:pPr>
      <w:r w:rsidRPr="00DB42A9">
        <w:rPr>
          <w:color w:val="0070C0"/>
          <w:sz w:val="24"/>
          <w:szCs w:val="24"/>
        </w:rPr>
        <w:t>Obligation to protect our persons (under 1789 and 1790 definitions of “person”) and property</w:t>
      </w:r>
    </w:p>
    <w:p w:rsidR="007360F1" w:rsidRPr="00DB42A9" w:rsidRDefault="007360F1" w:rsidP="00F903A4">
      <w:pPr>
        <w:spacing w:before="100" w:beforeAutospacing="1" w:after="100" w:afterAutospacing="1" w:line="240" w:lineRule="auto"/>
        <w:rPr>
          <w:rFonts w:asciiTheme="majorHAnsi" w:eastAsia="Times New Roman" w:hAnsiTheme="majorHAnsi" w:cs="Times New Roman"/>
          <w:color w:val="4F81BD" w:themeColor="accent1"/>
          <w:sz w:val="24"/>
          <w:szCs w:val="24"/>
        </w:rPr>
      </w:pPr>
      <w:r w:rsidRPr="00DB42A9">
        <w:rPr>
          <w:color w:val="0070C0"/>
        </w:rPr>
        <w:t>1789 ARTICLE [IV.] 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r w:rsidRPr="00DB42A9">
        <w:rPr>
          <w:color w:val="4F81BD" w:themeColor="accent1"/>
        </w:rPr>
        <w:t>.</w:t>
      </w:r>
    </w:p>
    <w:p w:rsidR="00911DA9" w:rsidRPr="00911DA9" w:rsidRDefault="00911DA9" w:rsidP="00911DA9">
      <w:pPr>
        <w:pStyle w:val="Heading2"/>
        <w:shd w:val="clear" w:color="auto" w:fill="FFFFFF"/>
        <w:spacing w:before="374" w:after="187"/>
        <w:rPr>
          <w:bCs w:val="0"/>
          <w:color w:val="333333"/>
          <w:sz w:val="28"/>
          <w:szCs w:val="28"/>
        </w:rPr>
      </w:pPr>
      <w:r w:rsidRPr="00911DA9">
        <w:rPr>
          <w:bCs w:val="0"/>
          <w:color w:val="333333"/>
          <w:sz w:val="28"/>
          <w:szCs w:val="28"/>
        </w:rPr>
        <w:t>Amendment X</w:t>
      </w:r>
    </w:p>
    <w:p w:rsidR="00041248" w:rsidRDefault="00911DA9" w:rsidP="00841E32">
      <w:pPr>
        <w:pStyle w:val="NormalWeb"/>
        <w:shd w:val="clear" w:color="auto" w:fill="FFFFFF"/>
        <w:spacing w:before="0" w:beforeAutospacing="0" w:after="0" w:afterAutospacing="0"/>
        <w:rPr>
          <w:rFonts w:asciiTheme="majorHAnsi" w:hAnsiTheme="majorHAnsi"/>
          <w:color w:val="0070C0"/>
        </w:rPr>
      </w:pPr>
      <w:r w:rsidRPr="00911DA9">
        <w:rPr>
          <w:rFonts w:asciiTheme="majorHAnsi" w:hAnsiTheme="majorHAnsi"/>
          <w:color w:val="0070C0"/>
        </w:rPr>
        <w:t xml:space="preserve">The powers not delegated to the United States by the Constitution, nor prohibited by it to the states, are </w:t>
      </w:r>
      <w:r w:rsidRPr="00841E32">
        <w:rPr>
          <w:rFonts w:asciiTheme="majorHAnsi" w:hAnsiTheme="majorHAnsi"/>
          <w:color w:val="0070C0"/>
        </w:rPr>
        <w:t>reserved to the states respectively, or to the people.</w:t>
      </w:r>
    </w:p>
    <w:p w:rsidR="00841E32" w:rsidRPr="00841E32" w:rsidRDefault="00841E32" w:rsidP="00841E32">
      <w:pPr>
        <w:pStyle w:val="NormalWeb"/>
        <w:shd w:val="clear" w:color="auto" w:fill="FFFFFF"/>
        <w:spacing w:before="0" w:beforeAutospacing="0" w:after="0" w:afterAutospacing="0"/>
        <w:rPr>
          <w:rFonts w:asciiTheme="majorHAnsi" w:hAnsiTheme="majorHAnsi"/>
          <w:color w:val="0070C0"/>
        </w:rPr>
      </w:pPr>
    </w:p>
    <w:p w:rsidR="00841E32" w:rsidRDefault="00841E32" w:rsidP="00841E32">
      <w:pPr>
        <w:pStyle w:val="Heading2"/>
        <w:shd w:val="clear" w:color="auto" w:fill="FFFFFF"/>
        <w:spacing w:before="0"/>
        <w:textAlignment w:val="center"/>
        <w:rPr>
          <w:bCs w:val="0"/>
          <w:color w:val="222222"/>
          <w:sz w:val="28"/>
          <w:szCs w:val="28"/>
          <w:bdr w:val="none" w:sz="0" w:space="0" w:color="auto" w:frame="1"/>
        </w:rPr>
      </w:pPr>
      <w:r w:rsidRPr="00841E32">
        <w:rPr>
          <w:bCs w:val="0"/>
          <w:color w:val="222222"/>
          <w:sz w:val="28"/>
          <w:szCs w:val="28"/>
          <w:bdr w:val="none" w:sz="0" w:space="0" w:color="auto" w:frame="1"/>
        </w:rPr>
        <w:t xml:space="preserve">Article </w:t>
      </w:r>
      <w:proofErr w:type="spellStart"/>
      <w:r w:rsidRPr="00841E32">
        <w:rPr>
          <w:bCs w:val="0"/>
          <w:color w:val="222222"/>
          <w:sz w:val="28"/>
          <w:szCs w:val="28"/>
          <w:bdr w:val="none" w:sz="0" w:space="0" w:color="auto" w:frame="1"/>
        </w:rPr>
        <w:t>lV</w:t>
      </w:r>
      <w:proofErr w:type="spellEnd"/>
      <w:r w:rsidR="00F903A4">
        <w:rPr>
          <w:bCs w:val="0"/>
          <w:color w:val="222222"/>
          <w:sz w:val="28"/>
          <w:szCs w:val="28"/>
          <w:bdr w:val="none" w:sz="0" w:space="0" w:color="auto" w:frame="1"/>
        </w:rPr>
        <w:t xml:space="preserve"> – Supremacy Clause</w:t>
      </w:r>
    </w:p>
    <w:p w:rsidR="00841E32" w:rsidRPr="00841E32" w:rsidRDefault="00841E32" w:rsidP="00841E32">
      <w:pPr>
        <w:spacing w:after="0"/>
      </w:pPr>
    </w:p>
    <w:p w:rsidR="00841E32" w:rsidRPr="00841E32" w:rsidRDefault="00841E32" w:rsidP="00841E32">
      <w:pPr>
        <w:shd w:val="clear" w:color="auto" w:fill="FFFFFF"/>
        <w:spacing w:after="0"/>
        <w:textAlignment w:val="baseline"/>
        <w:rPr>
          <w:rFonts w:asciiTheme="majorHAnsi" w:hAnsiTheme="majorHAnsi"/>
          <w:color w:val="0070C0"/>
          <w:sz w:val="27"/>
          <w:szCs w:val="27"/>
        </w:rPr>
      </w:pPr>
      <w:r w:rsidRPr="00841E32">
        <w:rPr>
          <w:rFonts w:asciiTheme="majorHAnsi" w:hAnsiTheme="majorHAnsi"/>
          <w:color w:val="0070C0"/>
          <w:sz w:val="27"/>
          <w:szCs w:val="27"/>
        </w:rPr>
        <w:t>The </w:t>
      </w:r>
      <w:r w:rsidRPr="00841E32">
        <w:rPr>
          <w:rFonts w:asciiTheme="majorHAnsi" w:hAnsiTheme="majorHAnsi"/>
          <w:b/>
          <w:bCs/>
          <w:color w:val="0070C0"/>
          <w:sz w:val="27"/>
          <w:szCs w:val="27"/>
          <w:bdr w:val="none" w:sz="0" w:space="0" w:color="auto" w:frame="1"/>
        </w:rPr>
        <w:t>Supremacy</w:t>
      </w:r>
      <w:r w:rsidRPr="00841E32">
        <w:rPr>
          <w:rFonts w:asciiTheme="majorHAnsi" w:hAnsiTheme="majorHAnsi"/>
          <w:color w:val="0070C0"/>
          <w:sz w:val="27"/>
          <w:szCs w:val="27"/>
        </w:rPr>
        <w:t> </w:t>
      </w:r>
      <w:r w:rsidRPr="00841E32">
        <w:rPr>
          <w:rFonts w:asciiTheme="majorHAnsi" w:hAnsiTheme="majorHAnsi"/>
          <w:b/>
          <w:bCs/>
          <w:color w:val="0070C0"/>
          <w:sz w:val="27"/>
          <w:szCs w:val="27"/>
          <w:bdr w:val="none" w:sz="0" w:space="0" w:color="auto" w:frame="1"/>
        </w:rPr>
        <w:t>Clause</w:t>
      </w:r>
      <w:r w:rsidRPr="00841E32">
        <w:rPr>
          <w:rFonts w:asciiTheme="majorHAnsi" w:hAnsiTheme="majorHAnsi"/>
          <w:color w:val="0070C0"/>
          <w:sz w:val="27"/>
          <w:szCs w:val="27"/>
        </w:rPr>
        <w:t> of the Constitution of the United States (</w:t>
      </w:r>
      <w:r w:rsidRPr="00841E32">
        <w:rPr>
          <w:rFonts w:asciiTheme="majorHAnsi" w:hAnsiTheme="majorHAnsi"/>
          <w:b/>
          <w:bCs/>
          <w:color w:val="0070C0"/>
          <w:sz w:val="27"/>
          <w:szCs w:val="27"/>
          <w:bdr w:val="none" w:sz="0" w:space="0" w:color="auto" w:frame="1"/>
        </w:rPr>
        <w:t>Article</w:t>
      </w:r>
      <w:r w:rsidRPr="00841E32">
        <w:rPr>
          <w:rFonts w:asciiTheme="majorHAnsi" w:hAnsiTheme="majorHAnsi"/>
          <w:color w:val="0070C0"/>
          <w:sz w:val="27"/>
          <w:szCs w:val="27"/>
        </w:rPr>
        <w:t> VI, </w:t>
      </w:r>
      <w:r w:rsidRPr="00841E32">
        <w:rPr>
          <w:rFonts w:asciiTheme="majorHAnsi" w:hAnsiTheme="majorHAnsi"/>
          <w:b/>
          <w:bCs/>
          <w:color w:val="0070C0"/>
          <w:sz w:val="27"/>
          <w:szCs w:val="27"/>
          <w:bdr w:val="none" w:sz="0" w:space="0" w:color="auto" w:frame="1"/>
        </w:rPr>
        <w:t>Clause</w:t>
      </w:r>
      <w:r w:rsidRPr="00841E32">
        <w:rPr>
          <w:rFonts w:asciiTheme="majorHAnsi" w:hAnsiTheme="majorHAnsi"/>
          <w:color w:val="0070C0"/>
          <w:sz w:val="27"/>
          <w:szCs w:val="27"/>
        </w:rPr>
        <w:t> 2), establishes that the Constitution, federal laws made pursuant to it, and treaties made under its authority, constitute the "supreme Law of the Land", and thus take priority over any conflicting state laws. It provides that state courts are bound by, and state constitutions subordinate to, the supreme law.</w:t>
      </w:r>
    </w:p>
    <w:p w:rsidR="00841E32" w:rsidRDefault="00841E32" w:rsidP="00911DA9">
      <w:pPr>
        <w:pStyle w:val="NormalWeb"/>
        <w:shd w:val="clear" w:color="auto" w:fill="FFFFFF"/>
        <w:spacing w:before="0" w:beforeAutospacing="0" w:after="187" w:afterAutospacing="0"/>
        <w:rPr>
          <w:rFonts w:asciiTheme="majorHAnsi" w:hAnsiTheme="majorHAnsi"/>
          <w:color w:val="0070C0"/>
        </w:rPr>
      </w:pPr>
    </w:p>
    <w:p w:rsidR="00841E32" w:rsidRDefault="00841E32" w:rsidP="00911DA9">
      <w:pPr>
        <w:pStyle w:val="NormalWeb"/>
        <w:shd w:val="clear" w:color="auto" w:fill="FFFFFF"/>
        <w:spacing w:before="0" w:beforeAutospacing="0" w:after="187" w:afterAutospacing="0"/>
        <w:rPr>
          <w:rFonts w:asciiTheme="majorHAnsi" w:hAnsiTheme="majorHAnsi"/>
          <w:color w:val="0070C0"/>
        </w:rPr>
      </w:pPr>
    </w:p>
    <w:p w:rsidR="00841E32" w:rsidRDefault="00841E32" w:rsidP="00841E32">
      <w:pPr>
        <w:pStyle w:val="NormalWeb"/>
        <w:shd w:val="clear" w:color="auto" w:fill="FFFFFF"/>
        <w:spacing w:before="0" w:beforeAutospacing="0" w:after="0" w:afterAutospacing="0"/>
        <w:rPr>
          <w:sz w:val="28"/>
          <w:szCs w:val="28"/>
        </w:rPr>
      </w:pPr>
      <w:r w:rsidRPr="00841E32">
        <w:rPr>
          <w:sz w:val="28"/>
          <w:szCs w:val="28"/>
        </w:rPr>
        <w:t xml:space="preserve">Read the Constitutions. Article VI contains the Supremacy Clause. There is no higher law for them to obey than the Law of the Land. </w:t>
      </w:r>
    </w:p>
    <w:p w:rsidR="00841E32" w:rsidRDefault="00841E32" w:rsidP="00841E32">
      <w:pPr>
        <w:pStyle w:val="NormalWeb"/>
        <w:shd w:val="clear" w:color="auto" w:fill="FFFFFF"/>
        <w:spacing w:before="0" w:beforeAutospacing="0" w:after="0" w:afterAutospacing="0"/>
        <w:rPr>
          <w:sz w:val="28"/>
          <w:szCs w:val="28"/>
        </w:rPr>
      </w:pPr>
      <w:r w:rsidRPr="00841E32">
        <w:rPr>
          <w:sz w:val="28"/>
          <w:szCs w:val="28"/>
        </w:rPr>
        <w:t>Read Amendment X. Anything that isn't specifically delegated to them remains our bailiwick. Read Amendment XI. No American is subject to foreign law.</w:t>
      </w:r>
    </w:p>
    <w:p w:rsidR="00841E32" w:rsidRPr="00841E32" w:rsidRDefault="00841E32" w:rsidP="00841E32">
      <w:pPr>
        <w:pStyle w:val="NormalWeb"/>
        <w:shd w:val="clear" w:color="auto" w:fill="FFFFFF"/>
        <w:spacing w:before="0" w:beforeAutospacing="0" w:after="0" w:afterAutospacing="0"/>
        <w:rPr>
          <w:rFonts w:asciiTheme="majorHAnsi" w:hAnsiTheme="majorHAnsi"/>
          <w:color w:val="0070C0"/>
          <w:sz w:val="28"/>
          <w:szCs w:val="28"/>
        </w:rPr>
      </w:pPr>
      <w:proofErr w:type="gramStart"/>
      <w:r>
        <w:rPr>
          <w:sz w:val="28"/>
          <w:szCs w:val="28"/>
        </w:rPr>
        <w:t xml:space="preserve">Article </w:t>
      </w:r>
      <w:proofErr w:type="spellStart"/>
      <w:r>
        <w:rPr>
          <w:sz w:val="28"/>
          <w:szCs w:val="28"/>
        </w:rPr>
        <w:t>lV.</w:t>
      </w:r>
      <w:proofErr w:type="spellEnd"/>
      <w:proofErr w:type="gramEnd"/>
      <w:r>
        <w:rPr>
          <w:sz w:val="28"/>
          <w:szCs w:val="28"/>
        </w:rPr>
        <w:t xml:space="preserve"> The United States shall provide to ever state of the Union a republican form of government</w:t>
      </w:r>
    </w:p>
    <w:sectPr w:rsidR="00841E32" w:rsidRPr="00841E32" w:rsidSect="0004124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erif">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drawingGridHorizontalSpacing w:val="110"/>
  <w:displayHorizontalDrawingGridEvery w:val="2"/>
  <w:characterSpacingControl w:val="doNotCompress"/>
  <w:compat/>
  <w:rsids>
    <w:rsidRoot w:val="00041248"/>
    <w:rsid w:val="00041248"/>
    <w:rsid w:val="002B4D3C"/>
    <w:rsid w:val="006F00ED"/>
    <w:rsid w:val="00724DF0"/>
    <w:rsid w:val="007360F1"/>
    <w:rsid w:val="00741C2E"/>
    <w:rsid w:val="00841E32"/>
    <w:rsid w:val="00904541"/>
    <w:rsid w:val="00911DA9"/>
    <w:rsid w:val="00BB5E0F"/>
    <w:rsid w:val="00C00752"/>
    <w:rsid w:val="00DB42A9"/>
    <w:rsid w:val="00EC0A2A"/>
    <w:rsid w:val="00F90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E0F"/>
  </w:style>
  <w:style w:type="paragraph" w:styleId="Heading1">
    <w:name w:val="heading 1"/>
    <w:basedOn w:val="Normal"/>
    <w:next w:val="Normal"/>
    <w:link w:val="Heading1Char"/>
    <w:uiPriority w:val="9"/>
    <w:qFormat/>
    <w:rsid w:val="000412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412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412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1248"/>
    <w:rPr>
      <w:rFonts w:ascii="Times New Roman" w:eastAsia="Times New Roman" w:hAnsi="Times New Roman" w:cs="Times New Roman"/>
      <w:b/>
      <w:bCs/>
      <w:sz w:val="27"/>
      <w:szCs w:val="27"/>
    </w:rPr>
  </w:style>
  <w:style w:type="paragraph" w:styleId="NormalWeb">
    <w:name w:val="Normal (Web)"/>
    <w:basedOn w:val="Normal"/>
    <w:uiPriority w:val="99"/>
    <w:unhideWhenUsed/>
    <w:rsid w:val="000412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1248"/>
    <w:rPr>
      <w:color w:val="0000FF"/>
      <w:u w:val="single"/>
    </w:rPr>
  </w:style>
  <w:style w:type="character" w:customStyle="1" w:styleId="Heading1Char">
    <w:name w:val="Heading 1 Char"/>
    <w:basedOn w:val="DefaultParagraphFont"/>
    <w:link w:val="Heading1"/>
    <w:uiPriority w:val="9"/>
    <w:rsid w:val="000412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41248"/>
    <w:rPr>
      <w:rFonts w:asciiTheme="majorHAnsi" w:eastAsiaTheme="majorEastAsia" w:hAnsiTheme="majorHAnsi" w:cstheme="majorBidi"/>
      <w:b/>
      <w:bCs/>
      <w:color w:val="4F81BD" w:themeColor="accent1"/>
      <w:sz w:val="26"/>
      <w:szCs w:val="26"/>
    </w:rPr>
  </w:style>
  <w:style w:type="character" w:customStyle="1" w:styleId="resulticon">
    <w:name w:val="result__icon"/>
    <w:basedOn w:val="DefaultParagraphFont"/>
    <w:rsid w:val="00841E32"/>
  </w:style>
  <w:style w:type="character" w:customStyle="1" w:styleId="resulturldomain">
    <w:name w:val="result__url__domain"/>
    <w:basedOn w:val="DefaultParagraphFont"/>
    <w:rsid w:val="00841E32"/>
  </w:style>
  <w:style w:type="character" w:customStyle="1" w:styleId="resulturlfull">
    <w:name w:val="result__url__full"/>
    <w:basedOn w:val="DefaultParagraphFont"/>
    <w:rsid w:val="00841E32"/>
  </w:style>
  <w:style w:type="paragraph" w:styleId="BalloonText">
    <w:name w:val="Balloon Text"/>
    <w:basedOn w:val="Normal"/>
    <w:link w:val="BalloonTextChar"/>
    <w:uiPriority w:val="99"/>
    <w:semiHidden/>
    <w:unhideWhenUsed/>
    <w:rsid w:val="00841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E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426620">
      <w:bodyDiv w:val="1"/>
      <w:marLeft w:val="0"/>
      <w:marRight w:val="0"/>
      <w:marTop w:val="0"/>
      <w:marBottom w:val="0"/>
      <w:divBdr>
        <w:top w:val="none" w:sz="0" w:space="0" w:color="auto"/>
        <w:left w:val="none" w:sz="0" w:space="0" w:color="auto"/>
        <w:bottom w:val="none" w:sz="0" w:space="0" w:color="auto"/>
        <w:right w:val="none" w:sz="0" w:space="0" w:color="auto"/>
      </w:divBdr>
      <w:divsChild>
        <w:div w:id="1864782243">
          <w:marLeft w:val="0"/>
          <w:marRight w:val="0"/>
          <w:marTop w:val="0"/>
          <w:marBottom w:val="0"/>
          <w:divBdr>
            <w:top w:val="none" w:sz="0" w:space="0" w:color="auto"/>
            <w:left w:val="none" w:sz="0" w:space="0" w:color="auto"/>
            <w:bottom w:val="none" w:sz="0" w:space="0" w:color="auto"/>
            <w:right w:val="none" w:sz="0" w:space="0" w:color="auto"/>
          </w:divBdr>
          <w:divsChild>
            <w:div w:id="33771965">
              <w:marLeft w:val="0"/>
              <w:marRight w:val="0"/>
              <w:marTop w:val="0"/>
              <w:marBottom w:val="0"/>
              <w:divBdr>
                <w:top w:val="none" w:sz="0" w:space="0" w:color="auto"/>
                <w:left w:val="none" w:sz="0" w:space="0" w:color="auto"/>
                <w:bottom w:val="none" w:sz="0" w:space="0" w:color="auto"/>
                <w:right w:val="none" w:sz="0" w:space="0" w:color="auto"/>
              </w:divBdr>
              <w:divsChild>
                <w:div w:id="1541938735">
                  <w:marLeft w:val="0"/>
                  <w:marRight w:val="0"/>
                  <w:marTop w:val="0"/>
                  <w:marBottom w:val="0"/>
                  <w:divBdr>
                    <w:top w:val="none" w:sz="0" w:space="0" w:color="auto"/>
                    <w:left w:val="none" w:sz="0" w:space="0" w:color="auto"/>
                    <w:bottom w:val="none" w:sz="0" w:space="0" w:color="auto"/>
                    <w:right w:val="none" w:sz="0" w:space="0" w:color="auto"/>
                  </w:divBdr>
                  <w:divsChild>
                    <w:div w:id="10324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91879">
      <w:bodyDiv w:val="1"/>
      <w:marLeft w:val="0"/>
      <w:marRight w:val="0"/>
      <w:marTop w:val="0"/>
      <w:marBottom w:val="0"/>
      <w:divBdr>
        <w:top w:val="none" w:sz="0" w:space="0" w:color="auto"/>
        <w:left w:val="none" w:sz="0" w:space="0" w:color="auto"/>
        <w:bottom w:val="none" w:sz="0" w:space="0" w:color="auto"/>
        <w:right w:val="none" w:sz="0" w:space="0" w:color="auto"/>
      </w:divBdr>
    </w:div>
    <w:div w:id="740367248">
      <w:bodyDiv w:val="1"/>
      <w:marLeft w:val="0"/>
      <w:marRight w:val="0"/>
      <w:marTop w:val="0"/>
      <w:marBottom w:val="0"/>
      <w:divBdr>
        <w:top w:val="none" w:sz="0" w:space="0" w:color="auto"/>
        <w:left w:val="none" w:sz="0" w:space="0" w:color="auto"/>
        <w:bottom w:val="none" w:sz="0" w:space="0" w:color="auto"/>
        <w:right w:val="none" w:sz="0" w:space="0" w:color="auto"/>
      </w:divBdr>
      <w:divsChild>
        <w:div w:id="1006639220">
          <w:marLeft w:val="0"/>
          <w:marRight w:val="0"/>
          <w:marTop w:val="0"/>
          <w:marBottom w:val="0"/>
          <w:divBdr>
            <w:top w:val="none" w:sz="0" w:space="0" w:color="auto"/>
            <w:left w:val="none" w:sz="0" w:space="0" w:color="auto"/>
            <w:bottom w:val="none" w:sz="0" w:space="0" w:color="auto"/>
            <w:right w:val="none" w:sz="0" w:space="0" w:color="auto"/>
          </w:divBdr>
          <w:divsChild>
            <w:div w:id="1952391102">
              <w:marLeft w:val="0"/>
              <w:marRight w:val="0"/>
              <w:marTop w:val="0"/>
              <w:marBottom w:val="0"/>
              <w:divBdr>
                <w:top w:val="none" w:sz="0" w:space="0" w:color="auto"/>
                <w:left w:val="none" w:sz="0" w:space="0" w:color="auto"/>
                <w:bottom w:val="none" w:sz="0" w:space="0" w:color="auto"/>
                <w:right w:val="none" w:sz="0" w:space="0" w:color="auto"/>
              </w:divBdr>
              <w:divsChild>
                <w:div w:id="1130055514">
                  <w:marLeft w:val="0"/>
                  <w:marRight w:val="0"/>
                  <w:marTop w:val="0"/>
                  <w:marBottom w:val="0"/>
                  <w:divBdr>
                    <w:top w:val="none" w:sz="0" w:space="0" w:color="auto"/>
                    <w:left w:val="none" w:sz="0" w:space="0" w:color="auto"/>
                    <w:bottom w:val="none" w:sz="0" w:space="0" w:color="auto"/>
                    <w:right w:val="none" w:sz="0" w:space="0" w:color="auto"/>
                  </w:divBdr>
                  <w:divsChild>
                    <w:div w:id="1044721309">
                      <w:marLeft w:val="0"/>
                      <w:marRight w:val="0"/>
                      <w:marTop w:val="0"/>
                      <w:marBottom w:val="0"/>
                      <w:divBdr>
                        <w:top w:val="none" w:sz="0" w:space="0" w:color="auto"/>
                        <w:left w:val="none" w:sz="0" w:space="0" w:color="auto"/>
                        <w:bottom w:val="none" w:sz="0" w:space="0" w:color="auto"/>
                        <w:right w:val="none" w:sz="0" w:space="0" w:color="auto"/>
                      </w:divBdr>
                      <w:divsChild>
                        <w:div w:id="1495413761">
                          <w:marLeft w:val="0"/>
                          <w:marRight w:val="0"/>
                          <w:marTop w:val="0"/>
                          <w:marBottom w:val="0"/>
                          <w:divBdr>
                            <w:top w:val="none" w:sz="0" w:space="0" w:color="auto"/>
                            <w:left w:val="none" w:sz="0" w:space="0" w:color="auto"/>
                            <w:bottom w:val="none" w:sz="0" w:space="0" w:color="auto"/>
                            <w:right w:val="none" w:sz="0" w:space="0" w:color="auto"/>
                          </w:divBdr>
                        </w:div>
                        <w:div w:id="299457922">
                          <w:marLeft w:val="0"/>
                          <w:marRight w:val="0"/>
                          <w:marTop w:val="0"/>
                          <w:marBottom w:val="0"/>
                          <w:divBdr>
                            <w:top w:val="none" w:sz="0" w:space="0" w:color="auto"/>
                            <w:left w:val="none" w:sz="0" w:space="0" w:color="auto"/>
                            <w:bottom w:val="none" w:sz="0" w:space="0" w:color="auto"/>
                            <w:right w:val="none" w:sz="0" w:space="0" w:color="auto"/>
                          </w:divBdr>
                        </w:div>
                        <w:div w:id="19204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86713">
      <w:bodyDiv w:val="1"/>
      <w:marLeft w:val="0"/>
      <w:marRight w:val="0"/>
      <w:marTop w:val="0"/>
      <w:marBottom w:val="0"/>
      <w:divBdr>
        <w:top w:val="none" w:sz="0" w:space="0" w:color="auto"/>
        <w:left w:val="none" w:sz="0" w:space="0" w:color="auto"/>
        <w:bottom w:val="none" w:sz="0" w:space="0" w:color="auto"/>
        <w:right w:val="none" w:sz="0" w:space="0" w:color="auto"/>
      </w:divBdr>
    </w:div>
    <w:div w:id="1170487173">
      <w:bodyDiv w:val="1"/>
      <w:marLeft w:val="0"/>
      <w:marRight w:val="0"/>
      <w:marTop w:val="0"/>
      <w:marBottom w:val="0"/>
      <w:divBdr>
        <w:top w:val="none" w:sz="0" w:space="0" w:color="auto"/>
        <w:left w:val="none" w:sz="0" w:space="0" w:color="auto"/>
        <w:bottom w:val="none" w:sz="0" w:space="0" w:color="auto"/>
        <w:right w:val="none" w:sz="0" w:space="0" w:color="auto"/>
      </w:divBdr>
    </w:div>
    <w:div w:id="1238203403">
      <w:bodyDiv w:val="1"/>
      <w:marLeft w:val="0"/>
      <w:marRight w:val="0"/>
      <w:marTop w:val="0"/>
      <w:marBottom w:val="0"/>
      <w:divBdr>
        <w:top w:val="none" w:sz="0" w:space="0" w:color="auto"/>
        <w:left w:val="none" w:sz="0" w:space="0" w:color="auto"/>
        <w:bottom w:val="none" w:sz="0" w:space="0" w:color="auto"/>
        <w:right w:val="none" w:sz="0" w:space="0" w:color="auto"/>
      </w:divBdr>
      <w:divsChild>
        <w:div w:id="811825843">
          <w:marLeft w:val="0"/>
          <w:marRight w:val="0"/>
          <w:marTop w:val="19"/>
          <w:marBottom w:val="37"/>
          <w:divBdr>
            <w:top w:val="none" w:sz="0" w:space="0" w:color="auto"/>
            <w:left w:val="none" w:sz="0" w:space="0" w:color="auto"/>
            <w:bottom w:val="none" w:sz="0" w:space="0" w:color="auto"/>
            <w:right w:val="none" w:sz="0" w:space="0" w:color="auto"/>
          </w:divBdr>
          <w:divsChild>
            <w:div w:id="943271847">
              <w:marLeft w:val="0"/>
              <w:marRight w:val="0"/>
              <w:marTop w:val="0"/>
              <w:marBottom w:val="0"/>
              <w:divBdr>
                <w:top w:val="none" w:sz="0" w:space="0" w:color="auto"/>
                <w:left w:val="none" w:sz="0" w:space="0" w:color="auto"/>
                <w:bottom w:val="none" w:sz="0" w:space="0" w:color="auto"/>
                <w:right w:val="none" w:sz="0" w:space="0" w:color="auto"/>
              </w:divBdr>
            </w:div>
          </w:divsChild>
        </w:div>
        <w:div w:id="121091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2020-10-16T17:35:00Z</dcterms:created>
  <dcterms:modified xsi:type="dcterms:W3CDTF">2020-10-16T17:35:00Z</dcterms:modified>
</cp:coreProperties>
</file>